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1346CC">
        <w:trPr>
          <w:jc w:val="center"/>
        </w:trPr>
        <w:tc>
          <w:tcPr>
            <w:tcW w:w="743" w:type="dxa"/>
          </w:tcPr>
          <w:p w:rsidR="00694556" w:rsidRPr="001346CC" w:rsidRDefault="001346CC" w:rsidP="001346CC">
            <w:pPr>
              <w:bidi w:val="0"/>
              <w:jc w:val="both"/>
              <w:rPr>
                <w:rFonts w:ascii="Arial" w:hAnsi="Arial"/>
                <w:b/>
                <w:bCs/>
                <w:sz w:val="26"/>
                <w:szCs w:val="26"/>
              </w:rPr>
            </w:pPr>
            <w:bookmarkStart w:id="0" w:name="_GoBack"/>
            <w:bookmarkEnd w:id="0"/>
            <w:r>
              <w:rPr>
                <w:rFonts w:ascii="Arial" w:hAnsi="Arial" w:hint="cs"/>
                <w:b/>
                <w:bCs/>
                <w:sz w:val="26"/>
                <w:szCs w:val="26"/>
                <w:rtl/>
              </w:rPr>
              <w:t>ל</w:t>
            </w:r>
            <w:r w:rsidR="00005C8B" w:rsidRPr="001346CC">
              <w:rPr>
                <w:rFonts w:ascii="Arial" w:hAnsi="Arial"/>
                <w:b/>
                <w:bCs/>
                <w:sz w:val="26"/>
                <w:szCs w:val="26"/>
                <w:rtl/>
              </w:rPr>
              <w:t xml:space="preserve">פני </w:t>
            </w:r>
          </w:p>
        </w:tc>
        <w:tc>
          <w:tcPr>
            <w:tcW w:w="8077" w:type="dxa"/>
            <w:gridSpan w:val="2"/>
          </w:tcPr>
          <w:p w:rsidR="00694556" w:rsidRDefault="00116E4D" w:rsidP="001346CC">
            <w:pPr>
              <w:rPr>
                <w:rFonts w:ascii="Arial" w:hAnsi="Arial" w:cs="FrankRuehl"/>
                <w:sz w:val="26"/>
                <w:szCs w:val="26"/>
                <w:highlight w:val="yellow"/>
                <w:rtl/>
              </w:rPr>
            </w:pPr>
            <w:r>
              <w:rPr>
                <w:rFonts w:ascii="Arial" w:hAnsi="Arial"/>
                <w:b/>
                <w:bCs/>
                <w:sz w:val="26"/>
                <w:szCs w:val="26"/>
                <w:rtl/>
              </w:rPr>
              <w:t>כב' השופט שאול שוחט, סגן נשיא</w:t>
            </w:r>
          </w:p>
          <w:p w:rsidR="00116E4D" w:rsidRPr="00116E4D" w:rsidRDefault="00116E4D" w:rsidP="001346CC">
            <w:pPr>
              <w:rPr>
                <w:rFonts w:ascii="Arial" w:hAnsi="Arial"/>
                <w:b/>
                <w:bCs/>
                <w:sz w:val="26"/>
                <w:szCs w:val="26"/>
                <w:rtl/>
              </w:rPr>
            </w:pPr>
            <w:r w:rsidRPr="00116E4D">
              <w:rPr>
                <w:rFonts w:ascii="Arial" w:hAnsi="Arial" w:hint="cs"/>
                <w:b/>
                <w:bCs/>
                <w:sz w:val="26"/>
                <w:szCs w:val="26"/>
                <w:rtl/>
              </w:rPr>
              <w:t>כב' השופטת עינת רביד</w:t>
            </w:r>
          </w:p>
          <w:p w:rsidR="00116E4D" w:rsidRPr="001346CC" w:rsidRDefault="00116E4D" w:rsidP="001346CC">
            <w:pPr>
              <w:rPr>
                <w:rFonts w:ascii="Arial" w:hAnsi="Arial" w:cs="FrankRuehl"/>
                <w:sz w:val="26"/>
                <w:szCs w:val="26"/>
                <w:highlight w:val="yellow"/>
              </w:rPr>
            </w:pPr>
            <w:r w:rsidRPr="00116E4D">
              <w:rPr>
                <w:rFonts w:ascii="Arial" w:hAnsi="Arial" w:hint="cs"/>
                <w:b/>
                <w:bCs/>
                <w:sz w:val="26"/>
                <w:szCs w:val="26"/>
                <w:rtl/>
              </w:rPr>
              <w:t>כב' השופט נפתלי שילה</w:t>
            </w:r>
          </w:p>
        </w:tc>
      </w:tr>
      <w:tr w:rsidR="00694556" w:rsidRPr="001346CC">
        <w:trPr>
          <w:jc w:val="center"/>
        </w:trPr>
        <w:tc>
          <w:tcPr>
            <w:tcW w:w="3249" w:type="dxa"/>
            <w:gridSpan w:val="2"/>
          </w:tcPr>
          <w:p w:rsidR="00694556" w:rsidRPr="001346CC" w:rsidRDefault="00694556">
            <w:pPr>
              <w:bidi w:val="0"/>
              <w:jc w:val="right"/>
              <w:rPr>
                <w:rFonts w:ascii="Arial" w:hAnsi="Arial"/>
                <w:b/>
                <w:bCs/>
                <w:noProof w:val="0"/>
                <w:sz w:val="26"/>
                <w:szCs w:val="26"/>
              </w:rPr>
            </w:pPr>
          </w:p>
          <w:sdt>
            <w:sdtPr>
              <w:rPr>
                <w:sz w:val="26"/>
                <w:szCs w:val="26"/>
              </w:rPr>
              <w:alias w:val="1180"/>
              <w:tag w:val="1180"/>
              <w:id w:val="-1623374073"/>
              <w:text w:multiLine="1"/>
            </w:sdtPr>
            <w:sdtEndPr/>
            <w:sdtContent>
              <w:p w:rsidR="00D861D9" w:rsidRDefault="00C77EBA" w:rsidP="00C77EBA">
                <w:pPr>
                  <w:bidi w:val="0"/>
                  <w:jc w:val="right"/>
                  <w:rPr>
                    <w:rFonts w:ascii="Arial" w:hAnsi="Arial"/>
                    <w:b/>
                    <w:bCs/>
                    <w:noProof w:val="0"/>
                    <w:sz w:val="26"/>
                    <w:szCs w:val="26"/>
                    <w:rtl/>
                  </w:rPr>
                </w:pPr>
                <w:r>
                  <w:rPr>
                    <w:rFonts w:ascii="Arial" w:hAnsi="Arial" w:hint="cs"/>
                    <w:b/>
                    <w:bCs/>
                    <w:noProof w:val="0"/>
                    <w:sz w:val="26"/>
                    <w:szCs w:val="26"/>
                    <w:rtl/>
                  </w:rPr>
                  <w:t>המערער</w:t>
                </w:r>
              </w:p>
            </w:sdtContent>
          </w:sdt>
        </w:tc>
        <w:tc>
          <w:tcPr>
            <w:tcW w:w="5571" w:type="dxa"/>
          </w:tcPr>
          <w:p w:rsidR="00694556" w:rsidRPr="001346CC" w:rsidRDefault="00694556">
            <w:pPr>
              <w:rPr>
                <w:rFonts w:ascii="Arial" w:hAnsi="Arial"/>
                <w:b/>
                <w:bCs/>
                <w:noProof w:val="0"/>
                <w:sz w:val="26"/>
                <w:szCs w:val="26"/>
                <w:rtl/>
              </w:rPr>
            </w:pPr>
          </w:p>
          <w:p w:rsidR="003506A5" w:rsidRDefault="002A3C91" w:rsidP="00AA743F">
            <w:pPr>
              <w:rPr>
                <w:sz w:val="26"/>
                <w:szCs w:val="26"/>
                <w:rtl/>
              </w:rPr>
            </w:pPr>
            <w:sdt>
              <w:sdtPr>
                <w:rPr>
                  <w:sz w:val="26"/>
                  <w:szCs w:val="26"/>
                  <w:rtl/>
                </w:rPr>
                <w:alias w:val="1478"/>
                <w:tag w:val="1478"/>
                <w:id w:val="-199099103"/>
                <w:text w:multiLine="1"/>
              </w:sdtPr>
              <w:sdtEndPr/>
              <w:sdtContent>
                <w:r w:rsidR="00AA743F">
                  <w:rPr>
                    <w:rFonts w:ascii="Arial" w:hAnsi="Arial" w:hint="cs"/>
                    <w:b/>
                    <w:bCs/>
                    <w:noProof w:val="0"/>
                    <w:sz w:val="26"/>
                    <w:szCs w:val="26"/>
                    <w:rtl/>
                  </w:rPr>
                  <w:t>פלוני</w:t>
                </w:r>
              </w:sdtContent>
            </w:sdt>
          </w:p>
          <w:p w:rsidR="00694556" w:rsidRPr="001346CC" w:rsidRDefault="00C77730">
            <w:pPr>
              <w:rPr>
                <w:b/>
                <w:bCs/>
                <w:noProof w:val="0"/>
                <w:sz w:val="26"/>
                <w:szCs w:val="26"/>
              </w:rPr>
            </w:pPr>
            <w:r>
              <w:rPr>
                <w:rFonts w:hint="cs"/>
                <w:sz w:val="26"/>
                <w:szCs w:val="26"/>
                <w:rtl/>
              </w:rPr>
              <w:t>ע"י ב"כ עו"ד אופיר פורת</w:t>
            </w:r>
          </w:p>
        </w:tc>
      </w:tr>
      <w:tr w:rsidR="00694556" w:rsidRPr="001346CC">
        <w:trPr>
          <w:jc w:val="center"/>
        </w:trPr>
        <w:tc>
          <w:tcPr>
            <w:tcW w:w="8820" w:type="dxa"/>
            <w:gridSpan w:val="3"/>
          </w:tcPr>
          <w:p w:rsidR="00694556" w:rsidRPr="001346CC" w:rsidRDefault="00694556">
            <w:pPr>
              <w:rPr>
                <w:rFonts w:ascii="Arial" w:hAnsi="Arial"/>
                <w:b/>
                <w:bCs/>
                <w:noProof w:val="0"/>
                <w:sz w:val="26"/>
                <w:szCs w:val="26"/>
                <w:rtl/>
              </w:rPr>
            </w:pPr>
          </w:p>
          <w:p w:rsidR="00694556" w:rsidRPr="001346CC" w:rsidRDefault="00005C8B">
            <w:pPr>
              <w:jc w:val="center"/>
              <w:rPr>
                <w:rFonts w:ascii="Arial" w:hAnsi="Arial"/>
                <w:b/>
                <w:bCs/>
                <w:noProof w:val="0"/>
                <w:sz w:val="26"/>
                <w:szCs w:val="26"/>
                <w:rtl/>
              </w:rPr>
            </w:pPr>
            <w:r w:rsidRPr="001346CC">
              <w:rPr>
                <w:rFonts w:ascii="Arial" w:hAnsi="Arial"/>
                <w:b/>
                <w:bCs/>
                <w:noProof w:val="0"/>
                <w:sz w:val="26"/>
                <w:szCs w:val="26"/>
                <w:rtl/>
              </w:rPr>
              <w:t>נגד</w:t>
            </w:r>
          </w:p>
          <w:p w:rsidR="00694556" w:rsidRPr="001346CC" w:rsidRDefault="00694556">
            <w:pPr>
              <w:rPr>
                <w:rFonts w:ascii="Arial" w:hAnsi="Arial"/>
                <w:b/>
                <w:bCs/>
                <w:noProof w:val="0"/>
                <w:sz w:val="26"/>
                <w:szCs w:val="26"/>
              </w:rPr>
            </w:pPr>
          </w:p>
        </w:tc>
      </w:tr>
      <w:tr w:rsidR="00694556" w:rsidRPr="001346CC">
        <w:trPr>
          <w:jc w:val="center"/>
        </w:trPr>
        <w:tc>
          <w:tcPr>
            <w:tcW w:w="3249" w:type="dxa"/>
            <w:gridSpan w:val="2"/>
          </w:tcPr>
          <w:p w:rsidR="00694556" w:rsidRPr="001346CC" w:rsidRDefault="00694556">
            <w:pPr>
              <w:rPr>
                <w:rFonts w:ascii="Arial" w:hAnsi="Arial"/>
                <w:b/>
                <w:bCs/>
                <w:noProof w:val="0"/>
                <w:sz w:val="26"/>
                <w:szCs w:val="26"/>
                <w:rtl/>
              </w:rPr>
            </w:pPr>
          </w:p>
          <w:p w:rsidR="00694556" w:rsidRPr="001346CC" w:rsidRDefault="002A3C91" w:rsidP="00C77EBA">
            <w:pPr>
              <w:rPr>
                <w:rFonts w:ascii="Arial" w:hAnsi="Arial"/>
                <w:b/>
                <w:bCs/>
                <w:noProof w:val="0"/>
                <w:sz w:val="26"/>
                <w:szCs w:val="26"/>
              </w:rPr>
            </w:pPr>
            <w:sdt>
              <w:sdtPr>
                <w:rPr>
                  <w:sz w:val="26"/>
                  <w:szCs w:val="26"/>
                  <w:rtl/>
                </w:rPr>
                <w:alias w:val="1184"/>
                <w:tag w:val="1184"/>
                <w:id w:val="-310096844"/>
                <w:text w:multiLine="1"/>
              </w:sdtPr>
              <w:sdtEndPr/>
              <w:sdtContent>
                <w:r w:rsidR="00C77EBA">
                  <w:rPr>
                    <w:rFonts w:ascii="Arial" w:hAnsi="Arial" w:hint="cs"/>
                    <w:b/>
                    <w:bCs/>
                    <w:noProof w:val="0"/>
                    <w:sz w:val="26"/>
                    <w:szCs w:val="26"/>
                    <w:rtl/>
                  </w:rPr>
                  <w:t>המשיבים</w:t>
                </w:r>
              </w:sdtContent>
            </w:sdt>
          </w:p>
        </w:tc>
        <w:tc>
          <w:tcPr>
            <w:tcW w:w="5571" w:type="dxa"/>
          </w:tcPr>
          <w:p w:rsidR="00694556" w:rsidRPr="001346CC" w:rsidRDefault="00694556">
            <w:pPr>
              <w:rPr>
                <w:rFonts w:ascii="Arial" w:hAnsi="Arial"/>
                <w:b/>
                <w:bCs/>
                <w:noProof w:val="0"/>
                <w:sz w:val="26"/>
                <w:szCs w:val="26"/>
                <w:rtl/>
              </w:rPr>
            </w:pPr>
          </w:p>
          <w:p w:rsidR="003506A5" w:rsidRPr="00AA743F" w:rsidRDefault="00AA743F">
            <w:pPr>
              <w:rPr>
                <w:b/>
                <w:bCs/>
                <w:sz w:val="26"/>
                <w:szCs w:val="26"/>
                <w:rtl/>
              </w:rPr>
            </w:pPr>
            <w:r w:rsidRPr="00AA743F">
              <w:rPr>
                <w:rFonts w:hint="cs"/>
                <w:b/>
                <w:bCs/>
                <w:sz w:val="26"/>
                <w:szCs w:val="26"/>
                <w:rtl/>
              </w:rPr>
              <w:t>אלמוני</w:t>
            </w:r>
          </w:p>
          <w:p w:rsidR="00694556" w:rsidRPr="001346CC" w:rsidRDefault="00C77730">
            <w:pPr>
              <w:rPr>
                <w:b/>
                <w:bCs/>
                <w:noProof w:val="0"/>
                <w:sz w:val="26"/>
                <w:szCs w:val="26"/>
                <w:rtl/>
              </w:rPr>
            </w:pPr>
            <w:r>
              <w:rPr>
                <w:rFonts w:hint="cs"/>
                <w:sz w:val="26"/>
                <w:szCs w:val="26"/>
                <w:rtl/>
              </w:rPr>
              <w:t>ע"י ב"כ עו"ד רן רוט</w:t>
            </w:r>
          </w:p>
          <w:p w:rsidR="003506A5" w:rsidRPr="00AA743F" w:rsidRDefault="00AA743F">
            <w:pPr>
              <w:rPr>
                <w:b/>
                <w:bCs/>
                <w:sz w:val="26"/>
                <w:szCs w:val="26"/>
                <w:rtl/>
              </w:rPr>
            </w:pPr>
            <w:r w:rsidRPr="00AA743F">
              <w:rPr>
                <w:rFonts w:hint="cs"/>
                <w:b/>
                <w:bCs/>
                <w:sz w:val="26"/>
                <w:szCs w:val="26"/>
                <w:rtl/>
              </w:rPr>
              <w:t>פלמוני</w:t>
            </w:r>
          </w:p>
          <w:p w:rsidR="00694556" w:rsidRPr="001346CC" w:rsidRDefault="00C77730">
            <w:pPr>
              <w:rPr>
                <w:b/>
                <w:bCs/>
                <w:noProof w:val="0"/>
                <w:sz w:val="26"/>
                <w:szCs w:val="26"/>
                <w:rtl/>
              </w:rPr>
            </w:pPr>
            <w:r>
              <w:rPr>
                <w:rFonts w:hint="cs"/>
                <w:sz w:val="26"/>
                <w:szCs w:val="26"/>
                <w:rtl/>
              </w:rPr>
              <w:t>ע"י ב"כ עו"ד רונן סימון</w:t>
            </w:r>
          </w:p>
        </w:tc>
      </w:tr>
    </w:tbl>
    <w:p w:rsidR="00694556" w:rsidRDefault="00694556" w:rsidP="008023D9">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5E2E46">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C77730" w:rsidRPr="00C77730" w:rsidRDefault="00C77730" w:rsidP="00C77730">
      <w:pPr>
        <w:spacing w:before="240" w:line="360" w:lineRule="auto"/>
        <w:jc w:val="both"/>
        <w:rPr>
          <w:rFonts w:ascii="Arial" w:hAnsi="Arial"/>
          <w:b/>
          <w:bCs/>
          <w:noProof w:val="0"/>
          <w:u w:val="single"/>
        </w:rPr>
      </w:pPr>
      <w:r w:rsidRPr="00C77730">
        <w:rPr>
          <w:rFonts w:ascii="Arial" w:hAnsi="Arial"/>
          <w:b/>
          <w:bCs/>
          <w:noProof w:val="0"/>
          <w:u w:val="single"/>
          <w:rtl/>
        </w:rPr>
        <w:t>השופט שאול שוחט, סגן נשיא, אב"ד</w:t>
      </w:r>
    </w:p>
    <w:p w:rsidR="00C77730" w:rsidRPr="00C77730" w:rsidRDefault="00C77730" w:rsidP="00C77730">
      <w:pPr>
        <w:spacing w:before="240" w:line="360" w:lineRule="auto"/>
        <w:jc w:val="both"/>
        <w:rPr>
          <w:rFonts w:ascii="Arial" w:hAnsi="Arial"/>
          <w:noProof w:val="0"/>
          <w:rtl/>
        </w:rPr>
      </w:pPr>
      <w:r w:rsidRPr="00C77730">
        <w:rPr>
          <w:rFonts w:ascii="Arial" w:hAnsi="Arial"/>
          <w:noProof w:val="0"/>
          <w:rtl/>
        </w:rPr>
        <w:t>ערעור על פסק דינו של בית המשפט לענייני משפחה במחוז תל אביב (כב' הש' קרן גיל בתמ"ש 22636-11-21), מיום  6.10.22, שדחה את תביעת המערער להשבת סכום של 24,234 ₪ ששילם, לטענתו, עבור טיפולים רפואיים לבתם של המשיבים, אחותו ובן זוגה.</w:t>
      </w:r>
    </w:p>
    <w:p w:rsidR="00C77730" w:rsidRPr="00C77730" w:rsidRDefault="00C77730" w:rsidP="00C77730">
      <w:pPr>
        <w:spacing w:before="240" w:line="360" w:lineRule="auto"/>
        <w:jc w:val="both"/>
        <w:rPr>
          <w:rFonts w:ascii="Arial" w:hAnsi="Arial"/>
          <w:b/>
          <w:bCs/>
          <w:noProof w:val="0"/>
          <w:u w:val="single"/>
          <w:rtl/>
        </w:rPr>
      </w:pPr>
      <w:r w:rsidRPr="00C77730">
        <w:rPr>
          <w:rFonts w:ascii="Arial" w:hAnsi="Arial"/>
          <w:b/>
          <w:bCs/>
          <w:noProof w:val="0"/>
          <w:u w:val="single"/>
          <w:rtl/>
        </w:rPr>
        <w:t>העובדות הצריכות לעניין – מתוך פסק הדין – אינן שנויות במחלוקת</w:t>
      </w:r>
    </w:p>
    <w:p w:rsidR="00C77730" w:rsidRPr="00C77730" w:rsidRDefault="00C77730" w:rsidP="00C77730">
      <w:pPr>
        <w:numPr>
          <w:ilvl w:val="0"/>
          <w:numId w:val="1"/>
        </w:numPr>
        <w:spacing w:before="240" w:line="360" w:lineRule="auto"/>
        <w:ind w:left="425"/>
        <w:jc w:val="both"/>
        <w:rPr>
          <w:rFonts w:ascii="Arial" w:hAnsi="Arial"/>
          <w:noProof w:val="0"/>
          <w:rtl/>
        </w:rPr>
      </w:pPr>
      <w:r w:rsidRPr="00C77730">
        <w:rPr>
          <w:rFonts w:ascii="Arial" w:hAnsi="Arial"/>
          <w:noProof w:val="0"/>
          <w:rtl/>
        </w:rPr>
        <w:t xml:space="preserve">המערער והמשיבה 2 הם אחים. המשיב 1 הוא בן זוגה לשעבר של המשיבה 2 (להלן שניהם: </w:t>
      </w:r>
      <w:r w:rsidRPr="00C77730">
        <w:rPr>
          <w:rFonts w:ascii="Arial" w:hAnsi="Arial"/>
          <w:b/>
          <w:bCs/>
          <w:noProof w:val="0"/>
          <w:rtl/>
        </w:rPr>
        <w:t>המשיבים</w:t>
      </w:r>
      <w:r w:rsidRPr="00C77730">
        <w:rPr>
          <w:rFonts w:ascii="Arial" w:hAnsi="Arial"/>
          <w:noProof w:val="0"/>
          <w:rtl/>
        </w:rPr>
        <w:t>). המשיבים נישאו בשנת 2016 והם הורים לקטינה בת כשלוש שנים (להלן: "</w:t>
      </w:r>
      <w:r w:rsidRPr="00C77730">
        <w:rPr>
          <w:rFonts w:ascii="Arial" w:hAnsi="Arial"/>
          <w:b/>
          <w:bCs/>
          <w:noProof w:val="0"/>
          <w:rtl/>
        </w:rPr>
        <w:t>הקטינה</w:t>
      </w:r>
      <w:r w:rsidRPr="00C77730">
        <w:rPr>
          <w:rFonts w:ascii="Arial" w:hAnsi="Arial"/>
          <w:noProof w:val="0"/>
          <w:rtl/>
        </w:rPr>
        <w:t>"). במהלך חודש יולי 2020 הקטינה אושפזה בבית חולים, ולאחר שחרורה המשיבה 2 ביקשה להתגורר עמה בבית הוריה, שם מתגורר גם המערער.</w:t>
      </w:r>
    </w:p>
    <w:p w:rsidR="00C77730" w:rsidRPr="00C77730" w:rsidRDefault="00C77730" w:rsidP="00C77730">
      <w:pPr>
        <w:numPr>
          <w:ilvl w:val="0"/>
          <w:numId w:val="1"/>
        </w:numPr>
        <w:spacing w:before="240" w:line="360" w:lineRule="auto"/>
        <w:ind w:left="425"/>
        <w:jc w:val="both"/>
        <w:rPr>
          <w:rFonts w:ascii="Arial" w:hAnsi="Arial"/>
          <w:noProof w:val="0"/>
          <w:rtl/>
        </w:rPr>
      </w:pPr>
      <w:r w:rsidRPr="00C77730">
        <w:rPr>
          <w:rFonts w:ascii="Arial" w:hAnsi="Arial"/>
          <w:noProof w:val="0"/>
          <w:rtl/>
        </w:rPr>
        <w:t>ביום 29.8.2020 התעוררה מחלוקת בין המערער למשיב 1, שגלשה לאלימות פיזית ומילולית. המשיב 1 סירב לשוב לבית הורי המשיבה 2 וממועד זה הם נפרדו בפועל. המשיבה 2 מתגוררת עד היום עם הקטינה בבית הוריה, יחד עם המערער, ואילו המשיב 1 מתגורר בדירה שכורה.</w:t>
      </w:r>
    </w:p>
    <w:p w:rsidR="00C77730" w:rsidRPr="00C77730" w:rsidRDefault="00C77730" w:rsidP="00C77730">
      <w:pPr>
        <w:numPr>
          <w:ilvl w:val="0"/>
          <w:numId w:val="1"/>
        </w:numPr>
        <w:spacing w:before="240" w:line="360" w:lineRule="auto"/>
        <w:ind w:left="425"/>
        <w:jc w:val="both"/>
        <w:rPr>
          <w:rFonts w:ascii="Arial" w:hAnsi="Arial"/>
          <w:noProof w:val="0"/>
          <w:rtl/>
        </w:rPr>
      </w:pPr>
      <w:r w:rsidRPr="00C77730">
        <w:rPr>
          <w:rFonts w:ascii="Arial" w:hAnsi="Arial"/>
          <w:noProof w:val="0"/>
          <w:rtl/>
        </w:rPr>
        <w:t>התביעה בהליך זה הוגשה תחילה לבית משפט לתביעות קטנות בתל אביב, והועברה לבית משפט קמא, בית משפט לענייני משפחה, לאחר דיון במעמד הצדדים. עם העברת התביעה ניתן צו להגשת תצהירים ונקבע מועד לשמיעת ראיות. בשלב זה המערער עתר לתיקון כתב התביעה וטען שכתב התביעה לוקה בחסר משאינו מציין נזקים נוספים וכן שהוא מעוניין לבחון האם יש עילות תביעה נוספות. הבקשה</w:t>
      </w:r>
      <w:r w:rsidR="00AA743F">
        <w:rPr>
          <w:rFonts w:ascii="Arial" w:hAnsi="Arial"/>
          <w:noProof w:val="0"/>
          <w:rtl/>
        </w:rPr>
        <w:t xml:space="preserve"> נדחתה. בית משפט קמא נימק ואמר </w:t>
      </w:r>
      <w:r w:rsidRPr="00C77730">
        <w:rPr>
          <w:rFonts w:ascii="Arial" w:hAnsi="Arial"/>
          <w:noProof w:val="0"/>
          <w:rtl/>
        </w:rPr>
        <w:t xml:space="preserve">שהעברת התיק לדיון לפניו אינה מצדיקה תיקון כתב התביעה, וממילא </w:t>
      </w:r>
      <w:r w:rsidR="00AA743F">
        <w:rPr>
          <w:rFonts w:ascii="Arial" w:hAnsi="Arial"/>
          <w:noProof w:val="0"/>
          <w:rtl/>
        </w:rPr>
        <w:t xml:space="preserve">התיקון יהא כרוך בפסיקת הוצאות. </w:t>
      </w:r>
      <w:r w:rsidRPr="00C77730">
        <w:rPr>
          <w:rFonts w:ascii="Arial" w:hAnsi="Arial"/>
          <w:noProof w:val="0"/>
          <w:rtl/>
        </w:rPr>
        <w:t>הובהר למערער שהוא רשאי למחוק את התביעה ולהגיש תביעה חדשה. המערער בחר לברר את התביעה כפי שהוגשה.</w:t>
      </w:r>
    </w:p>
    <w:p w:rsidR="00C77730" w:rsidRPr="00C77730" w:rsidRDefault="00C77730" w:rsidP="00C77730">
      <w:pPr>
        <w:numPr>
          <w:ilvl w:val="0"/>
          <w:numId w:val="1"/>
        </w:numPr>
        <w:spacing w:before="240" w:line="360" w:lineRule="auto"/>
        <w:ind w:left="425"/>
        <w:jc w:val="both"/>
        <w:rPr>
          <w:rFonts w:ascii="Arial" w:hAnsi="Arial"/>
          <w:noProof w:val="0"/>
        </w:rPr>
      </w:pPr>
      <w:r w:rsidRPr="00C77730">
        <w:rPr>
          <w:rFonts w:ascii="Arial" w:hAnsi="Arial"/>
          <w:noProof w:val="0"/>
          <w:rtl/>
        </w:rPr>
        <w:lastRenderedPageBreak/>
        <w:t>בית משפט קמא פירט את טענות הצדדים לפניו:</w:t>
      </w:r>
    </w:p>
    <w:p w:rsidR="00C77730" w:rsidRPr="00C77730" w:rsidRDefault="00C77730" w:rsidP="00C77730">
      <w:pPr>
        <w:spacing w:before="240" w:line="360" w:lineRule="auto"/>
        <w:ind w:left="425" w:right="284"/>
        <w:jc w:val="both"/>
        <w:rPr>
          <w:rFonts w:ascii="Arial" w:hAnsi="Arial"/>
          <w:b/>
          <w:bCs/>
          <w:noProof w:val="0"/>
          <w:rtl/>
        </w:rPr>
      </w:pPr>
      <w:r w:rsidRPr="00C77730">
        <w:rPr>
          <w:rFonts w:ascii="Arial" w:hAnsi="Arial"/>
          <w:noProof w:val="0"/>
          <w:rtl/>
        </w:rPr>
        <w:t xml:space="preserve">" </w:t>
      </w:r>
      <w:r w:rsidRPr="00C77730">
        <w:rPr>
          <w:rFonts w:ascii="Arial" w:hAnsi="Arial"/>
          <w:b/>
          <w:bCs/>
          <w:noProof w:val="0"/>
          <w:rtl/>
        </w:rPr>
        <w:t>לטענת התובע ביום 14.7.2020 הנתבע ביקש להתגורר עמו ועם הוריו, על מנת להיעזר בהם לייצוב מצבה הרפואי של הקטינה, והביא את הקטינה להתגורר בביתו, יחד עם כל חפציה האישיים. לטענתו, לאחר יומיים הנתבע עזב, והפסיק כמעט לממן את הוצאות הקטינה, ואלה נפלו על כתפי אחותו, הנתבעת, שבתקופה זו לא עבדה, "</w:t>
      </w:r>
      <w:r w:rsidRPr="00C77730">
        <w:rPr>
          <w:rFonts w:ascii="Arial" w:hAnsi="Arial"/>
          <w:b/>
          <w:bCs/>
          <w:i/>
          <w:iCs/>
          <w:noProof w:val="0"/>
          <w:rtl/>
        </w:rPr>
        <w:t>ובלית ברירה, על מנת להציל את הילדה, נאלצתי לקחת על עצמי כמות גדולה של ההוצאות רפואיות של התינוקת"</w:t>
      </w:r>
      <w:r w:rsidRPr="00C77730">
        <w:rPr>
          <w:rFonts w:ascii="Arial" w:hAnsi="Arial"/>
          <w:b/>
          <w:bCs/>
          <w:noProof w:val="0"/>
          <w:rtl/>
        </w:rPr>
        <w:t>; לטענתו הנתבע התנער מאחריות כלפי הקטינה, לא לקח חלק כלשהו בבחירת בית החולים או המנתח, ו</w:t>
      </w:r>
      <w:r w:rsidRPr="00C77730">
        <w:rPr>
          <w:rFonts w:ascii="Arial" w:hAnsi="Arial"/>
          <w:b/>
          <w:bCs/>
          <w:i/>
          <w:iCs/>
          <w:noProof w:val="0"/>
          <w:rtl/>
        </w:rPr>
        <w:t>"לא הזיז אצבע לאתר רופאים וצוותים רפואיים, לתאם הגעת התינוקת אליהם וכו"</w:t>
      </w:r>
      <w:r w:rsidRPr="00C77730">
        <w:rPr>
          <w:rFonts w:ascii="Arial" w:hAnsi="Arial"/>
          <w:b/>
          <w:bCs/>
          <w:noProof w:val="0"/>
          <w:rtl/>
        </w:rPr>
        <w:t xml:space="preserve">; התובע הוסיף שהוא </w:t>
      </w:r>
      <w:r w:rsidRPr="00C77730">
        <w:rPr>
          <w:rFonts w:ascii="Arial" w:hAnsi="Arial"/>
          <w:b/>
          <w:bCs/>
          <w:i/>
          <w:iCs/>
          <w:noProof w:val="0"/>
          <w:rtl/>
        </w:rPr>
        <w:t>"משוכנע שאב של הילדה בישראל אינו יכול להתנהג כמו קוקיה וחייב לפצות אותי על הוצאותיי עבור ביתו"</w:t>
      </w:r>
      <w:r w:rsidRPr="00C77730">
        <w:rPr>
          <w:rFonts w:ascii="Arial" w:hAnsi="Arial"/>
          <w:b/>
          <w:bCs/>
          <w:noProof w:val="0"/>
          <w:rtl/>
        </w:rPr>
        <w:t>; התובע תבע השבת 24,234 ש"ח עבור הוצאות רפואיות ששילם עבור הקטינה (בטופס כתב התביעה נכתב הסכום 25,586 ש"ח, אך סיכום הקבלות שצורפו הוא אכן 24,234 ש"ח, וגם בתצהיר העדות הראשית נכתב שסכום התביעה הוא 24,234 ש"ח); בסיכומיו התובע טען לראשונה שיש לחייב את הנתבע בהשבת הכספים מכח חוק עשיית עושר ולא במשפט, וכן שהנתבע הפך אותו לאפוטרופוס של הקטינה.</w:t>
      </w:r>
    </w:p>
    <w:p w:rsidR="00C77730" w:rsidRPr="00C77730" w:rsidRDefault="00C77730" w:rsidP="00661B8B">
      <w:pPr>
        <w:spacing w:before="240" w:line="360" w:lineRule="auto"/>
        <w:ind w:left="425" w:right="284"/>
        <w:jc w:val="both"/>
        <w:rPr>
          <w:rFonts w:ascii="Arial" w:hAnsi="Arial"/>
          <w:b/>
          <w:bCs/>
          <w:noProof w:val="0"/>
          <w:rtl/>
        </w:rPr>
      </w:pPr>
      <w:r w:rsidRPr="00C77730">
        <w:rPr>
          <w:rFonts w:ascii="Arial" w:hAnsi="Arial"/>
          <w:b/>
          <w:bCs/>
          <w:noProof w:val="0"/>
          <w:rtl/>
        </w:rPr>
        <w:t>הנתבעת הסכימה עם הנטען על ידי התובע והוסיפה שהקטינה סובלת ממום כלייתי כרוני מולד ונותחה ביום 23.8.2020 וביום 7.10.2020, וכל הטיפולים נעשו על סמך הפניות רופאים שטיפלו בה. לטענתה הנתבע הסכים לניתוח הקטינה באופן פרטי, והיה מודע לכלל ההתייעצויות בעניינה.</w:t>
      </w:r>
    </w:p>
    <w:p w:rsidR="00C77730" w:rsidRPr="00C77730" w:rsidRDefault="00C77730" w:rsidP="00661B8B">
      <w:pPr>
        <w:spacing w:before="240" w:line="360" w:lineRule="auto"/>
        <w:ind w:left="425" w:right="284"/>
        <w:jc w:val="both"/>
        <w:rPr>
          <w:rFonts w:ascii="Arial" w:hAnsi="Arial"/>
          <w:b/>
          <w:bCs/>
          <w:noProof w:val="0"/>
          <w:rtl/>
        </w:rPr>
      </w:pPr>
      <w:r w:rsidRPr="00C77730">
        <w:rPr>
          <w:rFonts w:ascii="Arial" w:hAnsi="Arial"/>
          <w:b/>
          <w:bCs/>
          <w:noProof w:val="0"/>
          <w:rtl/>
        </w:rPr>
        <w:t>הנתבע טען שמעולם לא ביקש מהתובע לשלם ולו שקל אחד עבור הקטינה, והוא מעולם לא התחייב כלפי התובע, בכתב או בעל פה, להשיב לו כספים ששילם. כמו כן התובע לא ביקש ממנו, קודם להגשת התביעה, להשיב לו כספים שלטענתו שילם עבור הקטינה. לטענתו, כלל הסכומים שהתובע שילם לכאורה הם עבור בדיקות שרובן המוחלט היו מיותרות ונבעו מהיסטריית יתר, אובססיביות והיפוכונדריות של הנתבעת, ועל רובן המוחלט כלל לא ידע מראש, משום שהנתבעת ובני משפחתה מידרו אותו מגידול הקטינה. הנתבעת בחרה על דעת עצמה, וללא אישורו, לפנות לרופאים פרטיים, והגישה תביעה באמצעות אחיה, להשבת כספים, אך אין כל יריבות בינו לבין התובע".</w:t>
      </w:r>
    </w:p>
    <w:p w:rsidR="00C77730" w:rsidRPr="00C77730" w:rsidRDefault="00C77730" w:rsidP="00661B8B">
      <w:pPr>
        <w:numPr>
          <w:ilvl w:val="0"/>
          <w:numId w:val="1"/>
        </w:numPr>
        <w:spacing w:before="240" w:line="360" w:lineRule="auto"/>
        <w:ind w:left="425"/>
        <w:jc w:val="both"/>
        <w:rPr>
          <w:rFonts w:ascii="Arial" w:hAnsi="Arial"/>
          <w:b/>
          <w:bCs/>
          <w:noProof w:val="0"/>
          <w:rtl/>
        </w:rPr>
      </w:pPr>
      <w:r w:rsidRPr="00C77730">
        <w:rPr>
          <w:rFonts w:ascii="Arial" w:hAnsi="Arial"/>
          <w:noProof w:val="0"/>
          <w:rtl/>
        </w:rPr>
        <w:t xml:space="preserve">בית משפט קמא דחה את התביעה, </w:t>
      </w:r>
      <w:r w:rsidRPr="00C77730">
        <w:rPr>
          <w:rFonts w:ascii="Arial" w:hAnsi="Arial"/>
          <w:b/>
          <w:bCs/>
          <w:noProof w:val="0"/>
          <w:rtl/>
        </w:rPr>
        <w:t>"במלואה</w:t>
      </w:r>
      <w:r w:rsidRPr="00C77730">
        <w:rPr>
          <w:rFonts w:ascii="Arial" w:hAnsi="Arial"/>
          <w:noProof w:val="0"/>
          <w:rtl/>
        </w:rPr>
        <w:t xml:space="preserve">" : </w:t>
      </w:r>
    </w:p>
    <w:p w:rsidR="00C77730" w:rsidRPr="00C77730" w:rsidRDefault="00C77730" w:rsidP="00C77730">
      <w:pPr>
        <w:numPr>
          <w:ilvl w:val="0"/>
          <w:numId w:val="2"/>
        </w:numPr>
        <w:spacing w:before="240" w:line="360" w:lineRule="auto"/>
        <w:jc w:val="both"/>
        <w:rPr>
          <w:rFonts w:ascii="Arial" w:hAnsi="Arial"/>
          <w:noProof w:val="0"/>
          <w:rtl/>
        </w:rPr>
      </w:pPr>
      <w:r w:rsidRPr="00C77730">
        <w:rPr>
          <w:rFonts w:ascii="Arial" w:hAnsi="Arial"/>
          <w:noProof w:val="0"/>
          <w:rtl/>
        </w:rPr>
        <w:t xml:space="preserve">המערער לא טען – וממילא לא הוכיח – שהמשיב 1 ביקש ממנו לשלם עבור הוצאותיה הרפואיות של הקטינה, או שהתחייב בפניו שישיב לו סכומים ששילם עבור הקטינה ודי בכך לדחות את התביעה נגדו ; המערער העיד שהמשיב 1 ידע על כל הטיפולים, והסכים להם, ואף אמר לו שישיב לו את הכסף. עדות המערער לא הייתה מהימנה כלל והיא אף מנוגדת לטענותיו בכתב התביעה. בכתב התביעה ובתצהירו (באופן מעומעם) המערער לא טען ולו ברמז </w:t>
      </w:r>
      <w:r w:rsidRPr="00C77730">
        <w:rPr>
          <w:rFonts w:ascii="Arial" w:hAnsi="Arial"/>
          <w:noProof w:val="0"/>
          <w:rtl/>
        </w:rPr>
        <w:lastRenderedPageBreak/>
        <w:t xml:space="preserve">שהמשיב 1 התחייב בפניו שישיב לו כספים וגם המשיבה 2 לא טענה בכתב הגנתה שהמשיב 1 התחייב שישיב את הכספים </w:t>
      </w:r>
      <w:r w:rsidR="00AA743F">
        <w:rPr>
          <w:rFonts w:ascii="Arial" w:hAnsi="Arial"/>
          <w:noProof w:val="0"/>
          <w:rtl/>
        </w:rPr>
        <w:t>שהמערער שילם, אלא טענה שהמשיב 1</w:t>
      </w:r>
      <w:r w:rsidRPr="00C77730">
        <w:rPr>
          <w:rFonts w:ascii="Arial" w:hAnsi="Arial"/>
          <w:noProof w:val="0"/>
          <w:rtl/>
        </w:rPr>
        <w:t xml:space="preserve"> כלל לא ידע מה היו הטיפולים משום שלא הגיע לפגישות עם הרופאים כדי להתחמק מהתשלום בעדם ; המערער אישר בחקירתו שלאחר 29.8.2020 המשיב 1 לא הגיע לביתו ולא היה בינו לבין המשיב 1 כל קשר, במישרין או בעקיפין (שורות 18-17 בעמ' 5 לפרוטוקול), משמע המערער אישר שלא ניתנה הסכמה של המשיב 1 להשבת הסכומים עבור תשלומים שבוצעו לאחר תאריך זה, כך שדין התביעה לחיוב הנתבע בהשבת התשלומים שפורטו בפסקאות 8.22-8.10 לעיל להידחות ; דין התביעה ביחס לסכומים שפורטו בפסקאות 8.3, 8.5, 8.8, 8.10, 8.11, 8.12, 8.13, 8.16, 8.17, 8.18, 8.19, ו-8.21 בסך כולל של 11,010 ש"ח ששולמו במזומן להידחות, משום ששמו של המערער כלל לא נרשם על גבי קבלות אלה, והמערער לא הוכיח שהן שולמו על ידו. יתרה מכך, בכתב הגנתה המשיבה 2 טענה ששילמה חלק מההוצאות בעצמה וכן שהוריה שילמו חלק מהן.</w:t>
      </w:r>
    </w:p>
    <w:p w:rsidR="00C77730" w:rsidRPr="00C77730" w:rsidRDefault="00C77730" w:rsidP="00C77730">
      <w:pPr>
        <w:numPr>
          <w:ilvl w:val="0"/>
          <w:numId w:val="2"/>
        </w:numPr>
        <w:spacing w:before="240" w:line="360" w:lineRule="auto"/>
        <w:jc w:val="both"/>
        <w:rPr>
          <w:rFonts w:ascii="Arial" w:hAnsi="Arial"/>
          <w:noProof w:val="0"/>
          <w:rtl/>
        </w:rPr>
      </w:pPr>
      <w:r w:rsidRPr="00C77730">
        <w:rPr>
          <w:rFonts w:ascii="Arial" w:hAnsi="Arial"/>
          <w:noProof w:val="0"/>
          <w:rtl/>
        </w:rPr>
        <w:t xml:space="preserve">בתוך כך דחה בית משפט קמא את טענת המערער כי המשיב 1 לא הוכיח שהוא לא הסכים לביצוע התשלומים, קבע שהנטל על המערער להוכיח הסכמה ודחה גם את הטענה שהתכתבות בין הצדדים, אליה הפנה, מלמדת על קיומה של ידיעה והסכמה מצד המשיב 1. </w:t>
      </w:r>
    </w:p>
    <w:p w:rsidR="00C77730" w:rsidRPr="00C77730" w:rsidRDefault="00C77730" w:rsidP="00C77730">
      <w:pPr>
        <w:numPr>
          <w:ilvl w:val="0"/>
          <w:numId w:val="2"/>
        </w:numPr>
        <w:spacing w:before="240" w:line="360" w:lineRule="auto"/>
        <w:jc w:val="both"/>
        <w:rPr>
          <w:rFonts w:ascii="Arial" w:hAnsi="Arial"/>
          <w:noProof w:val="0"/>
          <w:rtl/>
        </w:rPr>
      </w:pPr>
      <w:r w:rsidRPr="00C77730">
        <w:rPr>
          <w:rFonts w:ascii="Arial" w:hAnsi="Arial"/>
          <w:noProof w:val="0"/>
          <w:rtl/>
        </w:rPr>
        <w:t xml:space="preserve">אשר לחיוב המשיבה 2 קבע בית המשפט שהיא הביעה הסכמתה לנטען בכתב התביעה, ולכאורה לא הייתה מניעה שיינתן פסק דין נגדה ביחס למלוא סכום התביעה, ברם עת לא הוכח שהמערער שילם מכיסו את כלל הסכומים שנתבעו וממילא מבחינתו אין לו כל צורך בפסק דין נגדה אלא לצורך חיוב הנתבע לא ניתן לפסוק כנגדה. </w:t>
      </w:r>
    </w:p>
    <w:p w:rsidR="00C77730" w:rsidRPr="00C77730" w:rsidRDefault="00C77730" w:rsidP="00C77730">
      <w:pPr>
        <w:numPr>
          <w:ilvl w:val="0"/>
          <w:numId w:val="2"/>
        </w:numPr>
        <w:spacing w:before="240" w:line="360" w:lineRule="auto"/>
        <w:jc w:val="both"/>
        <w:rPr>
          <w:rFonts w:ascii="Arial" w:hAnsi="Arial"/>
          <w:noProof w:val="0"/>
          <w:rtl/>
        </w:rPr>
      </w:pPr>
      <w:r w:rsidRPr="00C77730">
        <w:rPr>
          <w:rFonts w:ascii="Arial" w:hAnsi="Arial"/>
          <w:noProof w:val="0"/>
          <w:rtl/>
        </w:rPr>
        <w:t>בית משפט קמא גם דחה את טענת המערער לחיוב המשיבים מכוח עילת עשיית עושר ולא במשפט משנטענה לראשונה בסיכומים וגם מהטעם שיסודותיה לא הוכחו.</w:t>
      </w:r>
    </w:p>
    <w:p w:rsidR="00C77730" w:rsidRPr="00661B8B" w:rsidRDefault="00C77730" w:rsidP="00661B8B">
      <w:pPr>
        <w:numPr>
          <w:ilvl w:val="0"/>
          <w:numId w:val="1"/>
        </w:numPr>
        <w:spacing w:before="240" w:line="360" w:lineRule="auto"/>
        <w:ind w:left="425"/>
        <w:jc w:val="both"/>
        <w:rPr>
          <w:rFonts w:ascii="Arial" w:hAnsi="Arial"/>
          <w:noProof w:val="0"/>
        </w:rPr>
      </w:pPr>
      <w:r w:rsidRPr="00C77730">
        <w:rPr>
          <w:rFonts w:ascii="Arial" w:hAnsi="Arial"/>
          <w:noProof w:val="0"/>
          <w:rtl/>
        </w:rPr>
        <w:t>המערער לא השלים עם פסק הדין והגיש את הערעור שלפנינו בגדרו ערער גם על ההחלטה שדחתה את בקשתו לתיקון כתב התביעה.</w:t>
      </w:r>
    </w:p>
    <w:p w:rsidR="00C77730" w:rsidRPr="00661B8B" w:rsidRDefault="00C77730" w:rsidP="00661B8B">
      <w:pPr>
        <w:spacing w:before="240" w:line="360" w:lineRule="auto"/>
        <w:ind w:left="425"/>
        <w:jc w:val="both"/>
        <w:rPr>
          <w:rFonts w:ascii="Arial" w:hAnsi="Arial"/>
          <w:noProof w:val="0"/>
          <w:rtl/>
        </w:rPr>
      </w:pPr>
      <w:r w:rsidRPr="00C77730">
        <w:rPr>
          <w:rFonts w:ascii="Arial" w:hAnsi="Arial"/>
          <w:noProof w:val="0"/>
          <w:rtl/>
        </w:rPr>
        <w:t xml:space="preserve">המשיב 1 תמך בהחלטת בית המשפט האמורה כמו גם בפסק הדין ובתוצאתו. </w:t>
      </w:r>
    </w:p>
    <w:p w:rsidR="00C77730" w:rsidRPr="00C77730" w:rsidRDefault="00C77730" w:rsidP="00661B8B">
      <w:pPr>
        <w:spacing w:before="240" w:line="360" w:lineRule="auto"/>
        <w:ind w:left="425"/>
        <w:jc w:val="both"/>
        <w:rPr>
          <w:rFonts w:ascii="Arial" w:hAnsi="Arial"/>
          <w:noProof w:val="0"/>
          <w:rtl/>
        </w:rPr>
      </w:pPr>
      <w:r w:rsidRPr="00C77730">
        <w:rPr>
          <w:rFonts w:ascii="Arial" w:hAnsi="Arial"/>
          <w:noProof w:val="0"/>
          <w:rtl/>
        </w:rPr>
        <w:t>המשיבה 2 הבהירה בתשובתה כי היא תומכת בערעור וכי היא סבורה כי יש לקבלו על כל חלקיו.</w:t>
      </w:r>
    </w:p>
    <w:p w:rsidR="00C77730" w:rsidRPr="00661B8B" w:rsidRDefault="00C77730" w:rsidP="00661B8B">
      <w:pPr>
        <w:spacing w:before="240" w:line="360" w:lineRule="auto"/>
        <w:jc w:val="both"/>
        <w:rPr>
          <w:rFonts w:ascii="Arial" w:hAnsi="Arial"/>
          <w:b/>
          <w:bCs/>
          <w:noProof w:val="0"/>
          <w:u w:val="single"/>
        </w:rPr>
      </w:pPr>
      <w:r w:rsidRPr="00C77730">
        <w:rPr>
          <w:rFonts w:ascii="Arial" w:hAnsi="Arial"/>
          <w:b/>
          <w:bCs/>
          <w:noProof w:val="0"/>
          <w:u w:val="single"/>
          <w:rtl/>
        </w:rPr>
        <w:t>דיון והכרעה</w:t>
      </w:r>
    </w:p>
    <w:p w:rsidR="00C77730" w:rsidRPr="00661B8B" w:rsidRDefault="00C77730" w:rsidP="00661B8B">
      <w:pPr>
        <w:numPr>
          <w:ilvl w:val="0"/>
          <w:numId w:val="1"/>
        </w:numPr>
        <w:spacing w:before="240" w:line="360" w:lineRule="auto"/>
        <w:ind w:left="425"/>
        <w:jc w:val="both"/>
        <w:rPr>
          <w:rFonts w:ascii="Arial" w:hAnsi="Arial"/>
          <w:noProof w:val="0"/>
        </w:rPr>
      </w:pPr>
      <w:r w:rsidRPr="00C77730">
        <w:rPr>
          <w:rFonts w:ascii="Arial" w:hAnsi="Arial"/>
          <w:noProof w:val="0"/>
          <w:rtl/>
        </w:rPr>
        <w:t>דין הערעור להתקבל בחלקו.</w:t>
      </w:r>
    </w:p>
    <w:p w:rsidR="00661B8B" w:rsidRPr="00B718F1" w:rsidRDefault="00C77730" w:rsidP="00B718F1">
      <w:pPr>
        <w:numPr>
          <w:ilvl w:val="0"/>
          <w:numId w:val="1"/>
        </w:numPr>
        <w:spacing w:before="240" w:line="360" w:lineRule="auto"/>
        <w:ind w:left="425"/>
        <w:jc w:val="both"/>
        <w:rPr>
          <w:rFonts w:ascii="Arial" w:hAnsi="Arial"/>
          <w:noProof w:val="0"/>
        </w:rPr>
      </w:pPr>
      <w:r w:rsidRPr="00C77730">
        <w:rPr>
          <w:rFonts w:ascii="Arial" w:hAnsi="Arial"/>
          <w:noProof w:val="0"/>
          <w:rtl/>
        </w:rPr>
        <w:t xml:space="preserve">התשתית העובדתית שנפרשה לפני בית משפט קמא, כפי שבאה לידי ביטוי בקביעותיו בפסק הדין, כמו גם קביעות המהימנות שלו בנוגע למערער, לא אפשרו לו להיעתר לתביעה בעילה של </w:t>
      </w:r>
      <w:r w:rsidRPr="00C77730">
        <w:rPr>
          <w:rFonts w:ascii="Arial" w:hAnsi="Arial"/>
          <w:noProof w:val="0"/>
          <w:rtl/>
        </w:rPr>
        <w:lastRenderedPageBreak/>
        <w:t>'ידיעה והסכמה' ו'הבטחה' להשיב את התשלומים. בהינתן הכלל בדבר התערבותה המצומצמת של ערכאת הערעור בקביעות עובדה ומהימנות של הערכאה הדיונית דומה כי דינו של הערעור היה נגזר לדחייה. ברם, התשתית העובדתית  שנפרשה היה בה כדי להצדיק את קבלת התביעה (בחלקה כפי שיובהר להלן) בעילה של עשיית עושר ולא במשפט.</w:t>
      </w:r>
    </w:p>
    <w:p w:rsidR="00B718F1" w:rsidRPr="00B718F1" w:rsidRDefault="00B718F1" w:rsidP="00B718F1">
      <w:pPr>
        <w:pStyle w:val="ad"/>
        <w:numPr>
          <w:ilvl w:val="0"/>
          <w:numId w:val="1"/>
        </w:numPr>
        <w:spacing w:before="240" w:after="240" w:line="360" w:lineRule="auto"/>
        <w:ind w:left="419" w:hanging="357"/>
        <w:contextualSpacing w:val="0"/>
        <w:jc w:val="both"/>
        <w:rPr>
          <w:rFonts w:ascii="Arial" w:hAnsi="Arial"/>
          <w:noProof w:val="0"/>
        </w:rPr>
      </w:pPr>
      <w:r>
        <w:rPr>
          <w:rFonts w:ascii="Arial" w:hAnsi="Arial" w:hint="cs"/>
          <w:noProof w:val="0"/>
          <w:rtl/>
        </w:rPr>
        <w:t xml:space="preserve">א.    </w:t>
      </w:r>
      <w:r w:rsidR="00C77730" w:rsidRPr="00B718F1">
        <w:rPr>
          <w:rFonts w:ascii="Arial" w:hAnsi="Arial"/>
          <w:noProof w:val="0"/>
          <w:rtl/>
        </w:rPr>
        <w:t>בנימוקי התביעה הסביר המערער כי הוא תובע את המשיבים בגין תשלומים שביצע עבור הוצאות רפואיות של בתם הקטינה "</w:t>
      </w:r>
      <w:r w:rsidR="00C77730" w:rsidRPr="00B718F1">
        <w:rPr>
          <w:rFonts w:ascii="Arial" w:hAnsi="Arial"/>
          <w:b/>
          <w:bCs/>
          <w:noProof w:val="0"/>
          <w:rtl/>
        </w:rPr>
        <w:t>עבור ייעוץ רפואי אורולוגי ונפרולוגי, עבור מיון וטיפול בילדה, עבור שהייה בבית חולים, עבור המנתח, עבור המרדים, עבור בדיקות שונות כולל אולטרסאונד, עבור חיסונים ועוד...</w:t>
      </w:r>
      <w:r w:rsidR="00C77730" w:rsidRPr="00B718F1">
        <w:rPr>
          <w:rFonts w:ascii="Arial" w:hAnsi="Arial"/>
          <w:noProof w:val="0"/>
          <w:rtl/>
        </w:rPr>
        <w:t>" והגם שנגרמו לו הוצאות נלוות נוספות כמו אבדן ימי עבודה, הוצאות דלק ותשלום עבור חניות "</w:t>
      </w:r>
      <w:r w:rsidR="00C77730" w:rsidRPr="00B718F1">
        <w:rPr>
          <w:rFonts w:ascii="Arial" w:hAnsi="Arial"/>
          <w:b/>
          <w:bCs/>
          <w:noProof w:val="0"/>
          <w:rtl/>
        </w:rPr>
        <w:t>אני תובע כאן אך ורק את ההוצאות הרפואיות עבור התינוקת..</w:t>
      </w:r>
      <w:r w:rsidR="00C77730" w:rsidRPr="00B718F1">
        <w:rPr>
          <w:rFonts w:ascii="Arial" w:hAnsi="Arial"/>
          <w:noProof w:val="0"/>
          <w:rtl/>
        </w:rPr>
        <w:t>".</w:t>
      </w:r>
    </w:p>
    <w:p w:rsidR="00B718F1" w:rsidRDefault="00C77730" w:rsidP="00B718F1">
      <w:pPr>
        <w:pStyle w:val="ad"/>
        <w:numPr>
          <w:ilvl w:val="0"/>
          <w:numId w:val="7"/>
        </w:numPr>
        <w:spacing w:before="240" w:after="240" w:line="360" w:lineRule="auto"/>
        <w:ind w:left="708"/>
        <w:contextualSpacing w:val="0"/>
        <w:jc w:val="both"/>
        <w:rPr>
          <w:rFonts w:ascii="Arial" w:hAnsi="Arial"/>
          <w:noProof w:val="0"/>
        </w:rPr>
      </w:pPr>
      <w:r w:rsidRPr="00B718F1">
        <w:rPr>
          <w:rFonts w:ascii="Arial" w:hAnsi="Arial"/>
          <w:noProof w:val="0"/>
          <w:rtl/>
        </w:rPr>
        <w:t>אין מחלוקת שהקטינה סובלת ממום כלייתי כרוני מולד והיא נזקקה לטיפולים רפואיים, אושפזה ועברה ניתוחים.</w:t>
      </w:r>
    </w:p>
    <w:p w:rsidR="00C77730" w:rsidRPr="00B718F1" w:rsidRDefault="00C77730" w:rsidP="00B718F1">
      <w:pPr>
        <w:pStyle w:val="ad"/>
        <w:numPr>
          <w:ilvl w:val="0"/>
          <w:numId w:val="3"/>
        </w:numPr>
        <w:spacing w:before="240" w:after="240" w:line="360" w:lineRule="auto"/>
        <w:ind w:left="708"/>
        <w:contextualSpacing w:val="0"/>
        <w:jc w:val="both"/>
        <w:rPr>
          <w:rFonts w:ascii="Arial" w:hAnsi="Arial"/>
          <w:noProof w:val="0"/>
          <w:rtl/>
        </w:rPr>
      </w:pPr>
      <w:r w:rsidRPr="00B718F1">
        <w:rPr>
          <w:rFonts w:ascii="Arial" w:hAnsi="Arial"/>
          <w:noProof w:val="0"/>
          <w:rtl/>
        </w:rPr>
        <w:t>החובה והאחריות לדאוג לשלמותה הגופנית ולבריאותה של הקטינה מוטלת על הוריה, המשיבים. כך מורה לנו הוראת ס' 15 לחוק הכשרות המשפטית והאפוטרופסות, התשכ"ב – 1962. צד שלישי שמקיים איזה מחובות אלה מעניק "</w:t>
      </w:r>
      <w:r w:rsidRPr="00B718F1">
        <w:rPr>
          <w:rFonts w:ascii="Arial" w:hAnsi="Arial"/>
          <w:b/>
          <w:bCs/>
          <w:noProof w:val="0"/>
          <w:rtl/>
        </w:rPr>
        <w:t>שירות או טובת הנאה</w:t>
      </w:r>
      <w:r w:rsidRPr="00B718F1">
        <w:rPr>
          <w:rFonts w:ascii="Arial" w:hAnsi="Arial"/>
          <w:noProof w:val="0"/>
          <w:rtl/>
        </w:rPr>
        <w:t xml:space="preserve">" להורים ואלה חייבים להשיב לו את שוויה (ס' 1 (א) לחוק עשיית עושר ולא במשפט, תשל"ט – 1969 – להלן: </w:t>
      </w:r>
      <w:r w:rsidRPr="00B718F1">
        <w:rPr>
          <w:rFonts w:ascii="Arial" w:hAnsi="Arial"/>
          <w:b/>
          <w:bCs/>
          <w:noProof w:val="0"/>
          <w:rtl/>
        </w:rPr>
        <w:t>חוק עשיית עושר</w:t>
      </w:r>
      <w:r w:rsidRPr="00B718F1">
        <w:rPr>
          <w:rFonts w:ascii="Arial" w:hAnsi="Arial"/>
          <w:noProof w:val="0"/>
          <w:rtl/>
        </w:rPr>
        <w:t>) ; צד שלישי "</w:t>
      </w:r>
      <w:r w:rsidRPr="00B718F1">
        <w:rPr>
          <w:rFonts w:ascii="Arial" w:hAnsi="Arial"/>
          <w:b/>
          <w:bCs/>
          <w:noProof w:val="0"/>
          <w:rtl/>
        </w:rPr>
        <w:t>שעשה בתום לב ובסבירות פעולה לשמירה, על חייו, שלמות גופו, בריאותו,,,, של אדם אחר, בלי שהיה חייב לכך כלפיו, והוציא או התחייב להוציא הוצאות בקשר לכך,,</w:t>
      </w:r>
      <w:r w:rsidRPr="00B718F1">
        <w:rPr>
          <w:rFonts w:ascii="Arial" w:hAnsi="Arial"/>
          <w:noProof w:val="0"/>
          <w:rtl/>
        </w:rPr>
        <w:t>" חייבים ההורים, כזוכים, לשפותו על הוצאותיו הסבירות (ס' 5(א) לחוק עשיית עושר).</w:t>
      </w:r>
    </w:p>
    <w:p w:rsidR="00C77730" w:rsidRPr="00661B8B" w:rsidRDefault="00C77730" w:rsidP="00661B8B">
      <w:pPr>
        <w:numPr>
          <w:ilvl w:val="0"/>
          <w:numId w:val="3"/>
        </w:numPr>
        <w:spacing w:before="240" w:line="360" w:lineRule="auto"/>
        <w:ind w:left="708"/>
        <w:jc w:val="both"/>
        <w:rPr>
          <w:rFonts w:ascii="Arial" w:hAnsi="Arial"/>
          <w:noProof w:val="0"/>
          <w:rtl/>
        </w:rPr>
      </w:pPr>
      <w:r w:rsidRPr="00C77730">
        <w:rPr>
          <w:rFonts w:ascii="Arial" w:hAnsi="Arial"/>
          <w:noProof w:val="0"/>
          <w:rtl/>
        </w:rPr>
        <w:t>גם אם עילת עשיית העושר ולא במשפט לא הוזכרה כלשונה בכתב התביעה (ואין חובה לעשות כן. על פי תקנות סדר הדין האזרחי, התש</w:t>
      </w:r>
      <w:r w:rsidR="00661B8B">
        <w:rPr>
          <w:rFonts w:ascii="Arial" w:hAnsi="Arial" w:hint="cs"/>
          <w:noProof w:val="0"/>
          <w:rtl/>
        </w:rPr>
        <w:t>ס</w:t>
      </w:r>
      <w:r w:rsidRPr="00C77730">
        <w:rPr>
          <w:rFonts w:ascii="Arial" w:hAnsi="Arial"/>
          <w:noProof w:val="0"/>
          <w:rtl/>
        </w:rPr>
        <w:t xml:space="preserve">"ט – 2018 כתב התביעה יכיל, בחלקו השני, תמצית העובדות שנחוצות לביסוס עילת התביעה ומתי נולדה ובחלקו השלישי פירוט העבודות המשמשות יסוד לכתב התביעה) כמהווה את מקור העילה לחיוב, העובדות הנ"ל פורטו בו, הסעד התבקש וההנמקה המשפטית עניין היא לבית המשפט, בוודאי בבית משפט שהחתירה לעשיית הצדק מהווה את אחד מיסודותיו. לא ניתן לומר אפילו שבשינוי חזית עסקינן. הכלל של שינוי חזית מופנה בעיקר כלפי טענות עובדתיות או כלפי טענות משפטיות שיש בהן כדי לשנות מהותית את חזית הטיעון. בענייננו מדובר בטענה משפטית שנמצאת בגדרן של העובדות שנמצאות בבסיס עילת התביעה המשפטית ושנובעת מהנתונים העובדתיים והמשפטיים שנפרשו לפני בית המשפט. המערער לא הוסיף עובדות. כל שעשה, גם אם בסיכומיו, טען למשמעות המשפטית שלהן (ראו והשוו ע"א 9803/01 </w:t>
      </w:r>
      <w:r w:rsidRPr="00B0033E">
        <w:rPr>
          <w:rFonts w:ascii="Arial" w:hAnsi="Arial"/>
          <w:b/>
          <w:bCs/>
          <w:noProof w:val="0"/>
          <w:rtl/>
        </w:rPr>
        <w:t>תחנת שחרות רמת גן נ' סונול פ"ד נח(3) 105</w:t>
      </w:r>
      <w:r w:rsidRPr="00C77730">
        <w:rPr>
          <w:rFonts w:ascii="Arial" w:hAnsi="Arial"/>
          <w:noProof w:val="0"/>
          <w:rtl/>
        </w:rPr>
        <w:t xml:space="preserve">).  ודוקו! גם בערעור ניתן להעלות טענה משפטית שיסודותיה העובדתיים </w:t>
      </w:r>
      <w:r w:rsidRPr="00C77730">
        <w:rPr>
          <w:rFonts w:ascii="Arial" w:hAnsi="Arial"/>
          <w:noProof w:val="0"/>
          <w:rtl/>
        </w:rPr>
        <w:lastRenderedPageBreak/>
        <w:t>נפרשו בערכאה הדיונית ובית משפט של ערעור מוסמך לתת כל החלטה שצריך היה לתתה (תקנה 146(א)(1) לתקנות סדר הדין האזרחי, התשע"ט – 2018).</w:t>
      </w:r>
    </w:p>
    <w:p w:rsidR="00C77730" w:rsidRPr="00661B8B" w:rsidRDefault="00C77730" w:rsidP="00B718F1">
      <w:pPr>
        <w:numPr>
          <w:ilvl w:val="0"/>
          <w:numId w:val="3"/>
        </w:numPr>
        <w:spacing w:before="240" w:line="360" w:lineRule="auto"/>
        <w:ind w:left="708"/>
        <w:jc w:val="both"/>
        <w:rPr>
          <w:rFonts w:ascii="Arial" w:hAnsi="Arial"/>
          <w:noProof w:val="0"/>
        </w:rPr>
      </w:pPr>
      <w:r w:rsidRPr="00C77730">
        <w:rPr>
          <w:rFonts w:ascii="Arial" w:hAnsi="Arial"/>
          <w:noProof w:val="0"/>
          <w:rtl/>
        </w:rPr>
        <w:t>בענייננו לא ניתן לומר שהעובדות לא נפרשו לפני בית משפט קמא ושהמשיבים לא היו יכולים להתמודד עם משמעותן המשפטית. בית משפט קמא פטר עצמו וקבע, ללא הסבר, כי הוא לא נדרש לעילה לא רק משום שלא נטענה אלא בסיכומים אלא גם משום שלא הוכחו יסודותיה העובדתיים. כפי שהובהר לעיל, אני סבור אחרת. נוסיף – מאחר שאין מחלוקת ולא יכולה להיות מחלוקת שהזכייה של המשיבים הייתה כרוכה בחסרון כיס של המערער (ס' 1 (ב) לחוק עשיית עושר) ומאחר שלפי ס' 5 לחוק עשיית עושר התנגדות המשיבים לטיפול אינה מקנה להם פטור מחובת השיפוי ובהינתן שבית משפט קמא לא קבע שהטיפולים, או איזה מהם, לא היו נחוצים וכל שקבע היה שלא הוכח שהמשיב</w:t>
      </w:r>
      <w:r w:rsidR="00AA743F">
        <w:rPr>
          <w:rFonts w:ascii="Arial" w:hAnsi="Arial" w:hint="cs"/>
          <w:noProof w:val="0"/>
          <w:rtl/>
        </w:rPr>
        <w:t xml:space="preserve"> </w:t>
      </w:r>
      <w:r w:rsidRPr="00C77730">
        <w:rPr>
          <w:rFonts w:ascii="Arial" w:hAnsi="Arial"/>
          <w:noProof w:val="0"/>
          <w:rtl/>
        </w:rPr>
        <w:t>1 ידע/ הסכים/ הבטיח להשיב – אני סבור שנתקיימו התנאים לחיוב המשיבים מכוח הוראות חוק אלה.</w:t>
      </w:r>
    </w:p>
    <w:p w:rsidR="00C77730" w:rsidRPr="00661B8B" w:rsidRDefault="00C77730" w:rsidP="00661B8B">
      <w:pPr>
        <w:numPr>
          <w:ilvl w:val="0"/>
          <w:numId w:val="1"/>
        </w:numPr>
        <w:spacing w:before="240" w:line="360" w:lineRule="auto"/>
        <w:ind w:left="425"/>
        <w:jc w:val="both"/>
        <w:rPr>
          <w:rFonts w:ascii="Arial" w:hAnsi="Arial"/>
          <w:noProof w:val="0"/>
          <w:rtl/>
        </w:rPr>
      </w:pPr>
      <w:r w:rsidRPr="00C77730">
        <w:rPr>
          <w:rFonts w:ascii="Arial" w:hAnsi="Arial"/>
          <w:noProof w:val="0"/>
          <w:rtl/>
        </w:rPr>
        <w:t>עניין אחר הוא הסכום שיש לזכות בו את המערער. בהקשר זה קבע בית משפט קמא, בסעיף 12.4 לפסק הדין כהאי לישנא: "</w:t>
      </w:r>
      <w:r w:rsidRPr="00C77730">
        <w:rPr>
          <w:rFonts w:ascii="Arial" w:hAnsi="Arial"/>
          <w:b/>
          <w:bCs/>
          <w:noProof w:val="0"/>
          <w:rtl/>
        </w:rPr>
        <w:t xml:space="preserve">בנוסף, דין התביעה ביחס לסכומים שפורטו בפסקאות 8.3, 8.5, 8.8, 8.10, 8.11, 8.12, 8.13, 8.16, 8.17, 8.18, 8.19, ו-8.21 בסך כולל של 11,010 ש"ח ששולמו במזומן להידחות, משום ששמו של התובע כלל לא נרשם על גבי קבלות אלה, והתובע לא הוכיח שהן שולמו על ידו. יתרה מכך, בכתב הגנתה הנתבעת טענה ששילמה חלק מההוצאות בעצמה וכן שהוריה שילמו חלק מהן". </w:t>
      </w:r>
      <w:r w:rsidRPr="00C77730">
        <w:rPr>
          <w:rFonts w:ascii="Arial" w:hAnsi="Arial"/>
          <w:noProof w:val="0"/>
          <w:rtl/>
        </w:rPr>
        <w:t xml:space="preserve">מדובר בקביעה עובדתית של הערכאה הדיונית שנשענה על ניתוח הקבלות והחשבוניות שהונחו לפניו על ידי המערער, על העדויות שנשמעו מפיו ומפי המשיבה 2 ועל קביעות מהימנות בנוגע אליו. אין בידינו להתערב בקביעות אלה </w:t>
      </w:r>
    </w:p>
    <w:p w:rsidR="00C77730" w:rsidRPr="00B718F1" w:rsidRDefault="00C77730" w:rsidP="00B718F1">
      <w:pPr>
        <w:numPr>
          <w:ilvl w:val="0"/>
          <w:numId w:val="1"/>
        </w:numPr>
        <w:spacing w:before="240" w:line="360" w:lineRule="auto"/>
        <w:ind w:left="425"/>
        <w:jc w:val="both"/>
        <w:rPr>
          <w:rFonts w:ascii="Arial" w:hAnsi="Arial"/>
          <w:noProof w:val="0"/>
        </w:rPr>
      </w:pPr>
      <w:r w:rsidRPr="00C77730">
        <w:rPr>
          <w:rFonts w:ascii="Arial" w:hAnsi="Arial"/>
          <w:noProof w:val="0"/>
          <w:rtl/>
        </w:rPr>
        <w:t>לפיכך, אמליץ לחבריי להרכב לקבל את הערעור בחלקו ולחייב את המשיבים, יחד ולחוד, להשיב למערער את הסכומים שפורטו בסעיפים 8.1 ; 8.2 ; 8.4 ; 8.6 ; 8.7 ; 8.9 ; 8.14 ; 8.15 ; 8.20 ; 8.22 לפסק הדין (הם הסכומים אשר בית משפט קמא לא החריג בסעיף 12.4 לפסק דינו) בתוספת הפרשי הצמדה וריבית כחוק על כל סכום וסכום מיום הוצאתו/תשלומו ועד השבתו בפועל ליד המערער.</w:t>
      </w:r>
    </w:p>
    <w:p w:rsidR="00C77730" w:rsidRPr="00661B8B" w:rsidRDefault="00C77730" w:rsidP="00661B8B">
      <w:pPr>
        <w:numPr>
          <w:ilvl w:val="0"/>
          <w:numId w:val="1"/>
        </w:numPr>
        <w:spacing w:before="240" w:line="360" w:lineRule="auto"/>
        <w:ind w:left="425"/>
        <w:jc w:val="both"/>
        <w:rPr>
          <w:rFonts w:ascii="Arial" w:hAnsi="Arial"/>
          <w:noProof w:val="0"/>
        </w:rPr>
      </w:pPr>
      <w:r w:rsidRPr="00C77730">
        <w:rPr>
          <w:rFonts w:ascii="Arial" w:hAnsi="Arial"/>
          <w:noProof w:val="0"/>
          <w:rtl/>
        </w:rPr>
        <w:t xml:space="preserve">משזו התוצאה אליה הגעתי מתייתר הדיון בשאלת נכונות ההחלטה של בית משפט קמא לדחות את בקשת המערער לתקן את כתב התביעה הגם שגם כאן נכון היה לנהוג אחרת. לכתב תביעה בבית משפט למשפחה יש לצרף תצהיר. כבר מטעם זה היה צריך להורות למערער לתקן את תביעתו ולתמוך אותה בתצהיר גם ללא שינוי כלשהו בתוכנה. גם העובדה שבבית משפט לתביעות קטנות הצדדים אינם </w:t>
      </w:r>
      <w:r w:rsidRPr="00AA743F">
        <w:rPr>
          <w:rFonts w:ascii="David" w:hAnsi="David"/>
          <w:noProof w:val="0"/>
          <w:rtl/>
        </w:rPr>
        <w:t>מיוצגים</w:t>
      </w:r>
      <w:r w:rsidRPr="00AA743F">
        <w:rPr>
          <w:rFonts w:ascii="David" w:hAnsi="David"/>
          <w:noProof w:val="0"/>
        </w:rPr>
        <w:t>;</w:t>
      </w:r>
      <w:r w:rsidRPr="00AA743F">
        <w:rPr>
          <w:rFonts w:ascii="David" w:hAnsi="David"/>
          <w:noProof w:val="0"/>
          <w:rtl/>
        </w:rPr>
        <w:t xml:space="preserve"> כתבי הטענות, על דרך הכלל, א</w:t>
      </w:r>
      <w:r w:rsidR="00AA743F">
        <w:rPr>
          <w:rFonts w:ascii="David" w:hAnsi="David"/>
          <w:noProof w:val="0"/>
          <w:rtl/>
        </w:rPr>
        <w:t>ינם ערוכים על ידי יודעי דת ודין</w:t>
      </w:r>
      <w:r w:rsidRPr="00AA743F">
        <w:rPr>
          <w:rFonts w:ascii="David" w:hAnsi="David"/>
          <w:noProof w:val="0"/>
          <w:rtl/>
        </w:rPr>
        <w:t>;  סדרי הדין הנוהגים שם</w:t>
      </w:r>
      <w:r w:rsidRPr="00C77730">
        <w:rPr>
          <w:rFonts w:ascii="Arial" w:hAnsi="Arial"/>
          <w:noProof w:val="0"/>
          <w:rtl/>
        </w:rPr>
        <w:t xml:space="preserve"> אינם כאלה שנוהגים בבית משפט אחר ובית המשפט אינו מדקדק בציציות הניסוח והטיעון – ראוי ונכון היה לאפשר את התיקון בוודאי שעה שהבקשה הוגשה בתחילת ההליך לפניו.  </w:t>
      </w:r>
    </w:p>
    <w:p w:rsidR="00C77730" w:rsidRPr="00661B8B" w:rsidRDefault="00C77730" w:rsidP="00661B8B">
      <w:pPr>
        <w:numPr>
          <w:ilvl w:val="0"/>
          <w:numId w:val="1"/>
        </w:numPr>
        <w:spacing w:before="240" w:line="360" w:lineRule="auto"/>
        <w:ind w:left="425"/>
        <w:jc w:val="both"/>
        <w:rPr>
          <w:rFonts w:ascii="Arial" w:hAnsi="Arial"/>
          <w:noProof w:val="0"/>
        </w:rPr>
      </w:pPr>
      <w:r w:rsidRPr="00C77730">
        <w:rPr>
          <w:rFonts w:ascii="Arial" w:hAnsi="Arial"/>
          <w:noProof w:val="0"/>
          <w:rtl/>
        </w:rPr>
        <w:lastRenderedPageBreak/>
        <w:t xml:space="preserve">הוצאות – </w:t>
      </w:r>
    </w:p>
    <w:p w:rsidR="00C77730" w:rsidRPr="00661B8B" w:rsidRDefault="00C77730" w:rsidP="00AA743F">
      <w:pPr>
        <w:numPr>
          <w:ilvl w:val="0"/>
          <w:numId w:val="4"/>
        </w:numPr>
        <w:spacing w:before="240" w:line="360" w:lineRule="auto"/>
        <w:jc w:val="both"/>
        <w:rPr>
          <w:rFonts w:ascii="Arial" w:hAnsi="Arial"/>
          <w:noProof w:val="0"/>
        </w:rPr>
      </w:pPr>
      <w:r w:rsidRPr="00C77730">
        <w:rPr>
          <w:rFonts w:ascii="Arial" w:hAnsi="Arial"/>
          <w:noProof w:val="0"/>
          <w:rtl/>
        </w:rPr>
        <w:t>משהתקבל הערעור, גם אם בחלקו, מבוטלות ההוצאות שהמערער חויב בהן בבית משפט קמא. ככל שאלה שולמו -  חובה על המשיב 1,שלטובתו נפסקו, להשיבם למערער בתוספת הפרשי הצמדה וריבית כחוק מהיום ששולמו לידיו ועד השבתם בפועל ליד המערער.</w:t>
      </w:r>
    </w:p>
    <w:p w:rsidR="00C77730" w:rsidRPr="00661B8B" w:rsidRDefault="00C77730" w:rsidP="00661B8B">
      <w:pPr>
        <w:numPr>
          <w:ilvl w:val="0"/>
          <w:numId w:val="4"/>
        </w:numPr>
        <w:spacing w:before="240" w:line="360" w:lineRule="auto"/>
        <w:jc w:val="both"/>
        <w:rPr>
          <w:rFonts w:ascii="Arial" w:hAnsi="Arial"/>
          <w:noProof w:val="0"/>
          <w:rtl/>
        </w:rPr>
      </w:pPr>
      <w:r w:rsidRPr="00C77730">
        <w:rPr>
          <w:rFonts w:ascii="Arial" w:hAnsi="Arial"/>
          <w:noProof w:val="0"/>
          <w:rtl/>
        </w:rPr>
        <w:t xml:space="preserve">בתום הדיון הציע בית המשפט לסיים את הערעור בתוצאה הנ"ל בהסדר מוסכם. המשיב 1 הסכים. העובדה שהמשיב הסכים להצעה בשלב בו ניתנה הסכמתו אין בה כדי לאיין לחלוטין את זכותו של המערער להוצאות אך יש בכך כדי להשליך על גובהן. מנגד, המערער סירב ועמד על מתן פסק דין בערעור שתוצאתו זהה להצעה. </w:t>
      </w:r>
    </w:p>
    <w:p w:rsidR="00C77730" w:rsidRPr="00661B8B" w:rsidRDefault="00C77730" w:rsidP="00661B8B">
      <w:pPr>
        <w:numPr>
          <w:ilvl w:val="0"/>
          <w:numId w:val="4"/>
        </w:numPr>
        <w:spacing w:before="240" w:line="360" w:lineRule="auto"/>
        <w:jc w:val="both"/>
        <w:rPr>
          <w:rFonts w:ascii="Arial" w:hAnsi="Arial"/>
          <w:b/>
          <w:bCs/>
          <w:noProof w:val="0"/>
        </w:rPr>
      </w:pPr>
      <w:r w:rsidRPr="00C77730">
        <w:rPr>
          <w:rFonts w:ascii="Arial" w:hAnsi="Arial"/>
          <w:noProof w:val="0"/>
          <w:rtl/>
        </w:rPr>
        <w:t>בטיעון בשאלת ההוצאות לפנינו טען ב"כ המשיב 1:</w:t>
      </w:r>
      <w:r w:rsidRPr="00C77730">
        <w:rPr>
          <w:rFonts w:ascii="Arial" w:hAnsi="Arial"/>
          <w:b/>
          <w:bCs/>
          <w:noProof w:val="0"/>
          <w:rtl/>
        </w:rPr>
        <w:t xml:space="preserve"> </w:t>
      </w:r>
      <w:r w:rsidRPr="00C77730">
        <w:rPr>
          <w:rFonts w:ascii="Arial" w:hAnsi="Arial"/>
          <w:noProof w:val="0"/>
          <w:rtl/>
        </w:rPr>
        <w:t>"יכול להיות שאם המערער היה מחליט לפנות אל המשיב 1 ולא לפנות דרך בית המשפט, יכול להיות שדיון על סכום כזה או אחר היינו מקיימים מחוץ לכותלי בית המשפט ולא מבזבזים את זמנו של בית המשפט לענייני משפחה ובית המשפט המחוזי".</w:t>
      </w:r>
      <w:r w:rsidRPr="00C77730">
        <w:rPr>
          <w:rFonts w:ascii="Arial" w:hAnsi="Arial"/>
          <w:b/>
          <w:bCs/>
          <w:noProof w:val="0"/>
          <w:rtl/>
        </w:rPr>
        <w:t xml:space="preserve">  </w:t>
      </w:r>
      <w:r w:rsidRPr="00C77730">
        <w:rPr>
          <w:rFonts w:ascii="Arial" w:hAnsi="Arial"/>
          <w:noProof w:val="0"/>
          <w:rtl/>
        </w:rPr>
        <w:t>טיעון זה עומד בסתירה גמורה לדברי המשיב 1 עצמו בעמ' 17 לפרוט' קמא ש' 12-15 שם השיב המשיב 1 בשלילה כשנשאל אם היה משלם אילו היו פונים אליו.</w:t>
      </w:r>
    </w:p>
    <w:p w:rsidR="00C77730" w:rsidRPr="00661B8B" w:rsidRDefault="00C77730" w:rsidP="00661B8B">
      <w:pPr>
        <w:spacing w:before="240" w:line="360" w:lineRule="auto"/>
        <w:jc w:val="both"/>
        <w:rPr>
          <w:rFonts w:ascii="Arial" w:hAnsi="Arial"/>
          <w:noProof w:val="0"/>
          <w:rtl/>
        </w:rPr>
      </w:pPr>
      <w:r w:rsidRPr="00C77730">
        <w:rPr>
          <w:rFonts w:ascii="Arial" w:hAnsi="Arial"/>
          <w:noProof w:val="0"/>
          <w:rtl/>
        </w:rPr>
        <w:t>בשקלול כל הנתונים לעיל אציע לחבריי</w:t>
      </w:r>
      <w:r w:rsidR="00C77EBA">
        <w:rPr>
          <w:rFonts w:ascii="Arial" w:hAnsi="Arial"/>
          <w:noProof w:val="0"/>
          <w:rtl/>
        </w:rPr>
        <w:t xml:space="preserve"> להרכב לחייב את המשיב 1 (המשיבה</w:t>
      </w:r>
      <w:r w:rsidRPr="00C77730">
        <w:rPr>
          <w:rFonts w:ascii="Arial" w:hAnsi="Arial"/>
          <w:noProof w:val="0"/>
          <w:rtl/>
        </w:rPr>
        <w:t xml:space="preserve"> 2 הסכימה לכתחילה לקבלת הערעור) לשאת בהוצאת המערער בערעור כדי סך של 10,000 ₪. </w:t>
      </w:r>
    </w:p>
    <w:p w:rsidR="00C77730" w:rsidRDefault="00C77730" w:rsidP="00C77730">
      <w:pPr>
        <w:spacing w:before="240" w:line="360" w:lineRule="auto"/>
        <w:jc w:val="both"/>
        <w:rPr>
          <w:rFonts w:ascii="Arial" w:hAnsi="Arial"/>
          <w:noProof w:val="0"/>
          <w:rtl/>
        </w:rPr>
      </w:pPr>
      <w:r w:rsidRPr="00C77730">
        <w:rPr>
          <w:rFonts w:ascii="Arial" w:hAnsi="Arial"/>
          <w:noProof w:val="0"/>
          <w:rtl/>
        </w:rPr>
        <w:t>העירבון , על פירותיו, יושב למערער באמצעות בא כוחו.</w:t>
      </w:r>
    </w:p>
    <w:p w:rsidR="00B718F1" w:rsidRDefault="00B718F1" w:rsidP="00B718F1">
      <w:pPr>
        <w:rPr>
          <w:rtl/>
        </w:rPr>
      </w:pPr>
    </w:p>
    <w:tbl>
      <w:tblPr>
        <w:bidiVisual/>
        <w:tblW w:w="0" w:type="auto"/>
        <w:tblInd w:w="4932" w:type="dxa"/>
        <w:tblCellMar>
          <w:left w:w="0" w:type="dxa"/>
          <w:right w:w="0" w:type="dxa"/>
        </w:tblCellMar>
        <w:tblLook w:val="04A0" w:firstRow="1" w:lastRow="0" w:firstColumn="1" w:lastColumn="0" w:noHBand="0" w:noVBand="1"/>
      </w:tblPr>
      <w:tblGrid>
        <w:gridCol w:w="2916"/>
      </w:tblGrid>
      <w:tr w:rsidR="00B718F1" w:rsidTr="00B718F1">
        <w:tc>
          <w:tcPr>
            <w:tcW w:w="2916" w:type="dxa"/>
            <w:tcBorders>
              <w:top w:val="nil"/>
              <w:left w:val="nil"/>
              <w:bottom w:val="single" w:sz="8" w:space="0" w:color="auto"/>
              <w:right w:val="nil"/>
            </w:tcBorders>
            <w:tcMar>
              <w:top w:w="0" w:type="dxa"/>
              <w:left w:w="108" w:type="dxa"/>
              <w:bottom w:w="0" w:type="dxa"/>
              <w:right w:w="108" w:type="dxa"/>
            </w:tcMar>
            <w:vAlign w:val="center"/>
            <w:hideMark/>
          </w:tcPr>
          <w:p w:rsidR="00B718F1" w:rsidRDefault="00B718F1">
            <w:pPr>
              <w:spacing w:line="256" w:lineRule="auto"/>
              <w:ind w:left="360"/>
              <w:jc w:val="center"/>
              <w:rPr>
                <w:rFonts w:ascii="David" w:hAnsi="David"/>
                <w:b/>
                <w:bCs/>
                <w:rtl/>
              </w:rPr>
            </w:pPr>
            <w:r>
              <w:rPr>
                <w:rFonts w:ascii="David" w:hAnsi="David"/>
              </w:rPr>
              <w:drawing>
                <wp:inline distT="0" distB="0" distL="0" distR="0">
                  <wp:extent cx="1482090" cy="741045"/>
                  <wp:effectExtent l="0" t="0" r="3810" b="1905"/>
                  <wp:docPr id="3" name="תמונה 3" descr="cid:image002.gif@01D5D9AF.3D52D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gif@01D5D9AF.3D52D30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82090" cy="741045"/>
                          </a:xfrm>
                          <a:prstGeom prst="rect">
                            <a:avLst/>
                          </a:prstGeom>
                          <a:noFill/>
                          <a:ln>
                            <a:noFill/>
                          </a:ln>
                        </pic:spPr>
                      </pic:pic>
                    </a:graphicData>
                  </a:graphic>
                </wp:inline>
              </w:drawing>
            </w:r>
          </w:p>
        </w:tc>
      </w:tr>
      <w:tr w:rsidR="00B718F1" w:rsidTr="00B718F1">
        <w:tc>
          <w:tcPr>
            <w:tcW w:w="2916" w:type="dxa"/>
            <w:tcMar>
              <w:top w:w="0" w:type="dxa"/>
              <w:left w:w="108" w:type="dxa"/>
              <w:bottom w:w="0" w:type="dxa"/>
              <w:right w:w="108" w:type="dxa"/>
            </w:tcMar>
            <w:hideMark/>
          </w:tcPr>
          <w:p w:rsidR="00B718F1" w:rsidRDefault="00B718F1">
            <w:pPr>
              <w:spacing w:line="256" w:lineRule="auto"/>
              <w:ind w:left="360"/>
              <w:jc w:val="center"/>
              <w:rPr>
                <w:rFonts w:ascii="David" w:hAnsi="David"/>
                <w:b/>
                <w:bCs/>
                <w:sz w:val="26"/>
                <w:szCs w:val="26"/>
              </w:rPr>
            </w:pPr>
            <w:r>
              <w:rPr>
                <w:rFonts w:ascii="David" w:hAnsi="David"/>
                <w:b/>
                <w:bCs/>
                <w:sz w:val="26"/>
                <w:szCs w:val="26"/>
                <w:rtl/>
              </w:rPr>
              <w:t>שאול שוחט, שופט</w:t>
            </w:r>
          </w:p>
          <w:p w:rsidR="00B718F1" w:rsidRDefault="00B718F1">
            <w:pPr>
              <w:spacing w:line="256" w:lineRule="auto"/>
              <w:ind w:left="360"/>
              <w:jc w:val="center"/>
              <w:rPr>
                <w:rFonts w:ascii="David" w:hAnsi="David"/>
                <w:b/>
                <w:bCs/>
              </w:rPr>
            </w:pPr>
            <w:r>
              <w:rPr>
                <w:rFonts w:ascii="David" w:hAnsi="David"/>
                <w:b/>
                <w:bCs/>
                <w:sz w:val="26"/>
                <w:szCs w:val="26"/>
                <w:rtl/>
              </w:rPr>
              <w:t>סג"נ-אב"ד</w:t>
            </w:r>
            <w:r>
              <w:rPr>
                <w:rFonts w:ascii="David" w:hAnsi="David"/>
                <w:b/>
                <w:bCs/>
                <w:rtl/>
              </w:rPr>
              <w:t xml:space="preserve"> </w:t>
            </w:r>
          </w:p>
        </w:tc>
      </w:tr>
    </w:tbl>
    <w:p w:rsidR="00B718F1" w:rsidRPr="00B718F1" w:rsidRDefault="00B718F1" w:rsidP="00B718F1">
      <w:pPr>
        <w:rPr>
          <w:rFonts w:ascii="FrankRuehl" w:hAnsi="FrankRuehl" w:cs="FrankRuehl"/>
          <w:b/>
          <w:bCs/>
          <w:sz w:val="26"/>
          <w:szCs w:val="26"/>
          <w:u w:val="single"/>
        </w:rPr>
      </w:pPr>
      <w:r w:rsidRPr="00B718F1">
        <w:rPr>
          <w:rFonts w:ascii="David" w:hAnsi="David"/>
          <w:b/>
          <w:bCs/>
          <w:sz w:val="26"/>
          <w:szCs w:val="26"/>
          <w:u w:val="single"/>
          <w:rtl/>
        </w:rPr>
        <w:t>כבוד השופט</w:t>
      </w:r>
      <w:r w:rsidRPr="00B718F1">
        <w:rPr>
          <w:rFonts w:ascii="David" w:hAnsi="David" w:hint="cs"/>
          <w:b/>
          <w:bCs/>
          <w:sz w:val="26"/>
          <w:szCs w:val="26"/>
          <w:u w:val="single"/>
          <w:rtl/>
        </w:rPr>
        <w:t>ת עינת רביד</w:t>
      </w:r>
    </w:p>
    <w:p w:rsidR="00B718F1" w:rsidRDefault="00B718F1" w:rsidP="00B718F1">
      <w:pPr>
        <w:rPr>
          <w:rtl/>
        </w:rPr>
      </w:pPr>
    </w:p>
    <w:p w:rsidR="00B718F1" w:rsidRDefault="00B718F1" w:rsidP="00B718F1">
      <w:pPr>
        <w:rPr>
          <w:rtl/>
        </w:rPr>
      </w:pPr>
      <w:r>
        <w:rPr>
          <w:rFonts w:hint="cs"/>
          <w:rtl/>
        </w:rPr>
        <w:t>אני מסכימה.</w:t>
      </w:r>
    </w:p>
    <w:p w:rsidR="00B718F1" w:rsidRDefault="00B718F1" w:rsidP="00B718F1">
      <w:pPr>
        <w:rPr>
          <w:rtl/>
        </w:rPr>
      </w:pPr>
    </w:p>
    <w:p w:rsidR="00B718F1" w:rsidRDefault="00B718F1" w:rsidP="00B718F1">
      <w:pPr>
        <w:rPr>
          <w:rtl/>
        </w:rPr>
      </w:pPr>
    </w:p>
    <w:p w:rsidR="00B718F1" w:rsidRDefault="00B718F1" w:rsidP="00B718F1">
      <w:pPr>
        <w:ind w:left="1440"/>
      </w:pPr>
      <w:r>
        <w:drawing>
          <wp:anchor distT="0" distB="0" distL="114300" distR="114300" simplePos="0" relativeHeight="251659264" behindDoc="0" locked="0" layoutInCell="1" allowOverlap="1" wp14:anchorId="6A63C4C8" wp14:editId="10811376">
            <wp:simplePos x="0" y="0"/>
            <wp:positionH relativeFrom="column">
              <wp:posOffset>428625</wp:posOffset>
            </wp:positionH>
            <wp:positionV relativeFrom="paragraph">
              <wp:posOffset>72390</wp:posOffset>
            </wp:positionV>
            <wp:extent cx="1282700" cy="558165"/>
            <wp:effectExtent l="0" t="0" r="0" b="0"/>
            <wp:wrapNone/>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2700" cy="558165"/>
                    </a:xfrm>
                    <a:prstGeom prst="rect">
                      <a:avLst/>
                    </a:prstGeom>
                    <a:noFill/>
                  </pic:spPr>
                </pic:pic>
              </a:graphicData>
            </a:graphic>
            <wp14:sizeRelH relativeFrom="page">
              <wp14:pctWidth>0</wp14:pctWidth>
            </wp14:sizeRelH>
            <wp14:sizeRelV relativeFrom="page">
              <wp14:pctHeight>0</wp14:pctHeight>
            </wp14:sizeRelV>
          </wp:anchor>
        </w:drawing>
      </w:r>
    </w:p>
    <w:p w:rsidR="00B718F1" w:rsidRDefault="00B718F1" w:rsidP="00B718F1">
      <w:pPr>
        <w:ind w:left="5040"/>
        <w:rPr>
          <w:rtl/>
        </w:rPr>
      </w:pPr>
    </w:p>
    <w:p w:rsidR="00B718F1" w:rsidRDefault="00B718F1" w:rsidP="00B718F1">
      <w:pPr>
        <w:ind w:left="5040"/>
        <w:rPr>
          <w:rtl/>
        </w:rPr>
      </w:pPr>
    </w:p>
    <w:p w:rsidR="00B718F1" w:rsidRDefault="00B718F1" w:rsidP="00B718F1">
      <w:pPr>
        <w:ind w:left="5040"/>
        <w:rPr>
          <w:rtl/>
        </w:rPr>
      </w:pPr>
    </w:p>
    <w:tbl>
      <w:tblPr>
        <w:tblStyle w:val="a9"/>
        <w:bidiVisual/>
        <w:tblW w:w="0" w:type="auto"/>
        <w:tblInd w:w="50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19"/>
      </w:tblGrid>
      <w:tr w:rsidR="00B718F1" w:rsidTr="00F03512">
        <w:tc>
          <w:tcPr>
            <w:tcW w:w="2919" w:type="dxa"/>
            <w:tcBorders>
              <w:top w:val="nil"/>
              <w:left w:val="nil"/>
              <w:bottom w:val="single" w:sz="4" w:space="0" w:color="auto"/>
              <w:right w:val="nil"/>
            </w:tcBorders>
            <w:vAlign w:val="center"/>
          </w:tcPr>
          <w:p w:rsidR="00B718F1" w:rsidRDefault="00B718F1" w:rsidP="00F03512">
            <w:pPr>
              <w:jc w:val="center"/>
              <w:rPr>
                <w:rFonts w:ascii="Courier New" w:hAnsi="Courier New"/>
                <w:b/>
                <w:bCs/>
                <w:rtl/>
              </w:rPr>
            </w:pPr>
          </w:p>
        </w:tc>
      </w:tr>
      <w:tr w:rsidR="00B718F1" w:rsidTr="00F03512">
        <w:tc>
          <w:tcPr>
            <w:tcW w:w="2919" w:type="dxa"/>
            <w:tcBorders>
              <w:top w:val="single" w:sz="4" w:space="0" w:color="auto"/>
              <w:left w:val="nil"/>
              <w:bottom w:val="nil"/>
              <w:right w:val="nil"/>
            </w:tcBorders>
            <w:vAlign w:val="bottom"/>
          </w:tcPr>
          <w:p w:rsidR="00B718F1" w:rsidRDefault="00B718F1" w:rsidP="00F03512">
            <w:pPr>
              <w:jc w:val="center"/>
              <w:rPr>
                <w:rFonts w:ascii="Courier New" w:hAnsi="Courier New"/>
                <w:b/>
                <w:bCs/>
                <w:sz w:val="26"/>
                <w:szCs w:val="26"/>
                <w:rtl/>
              </w:rPr>
            </w:pPr>
            <w:r>
              <w:rPr>
                <w:rFonts w:ascii="Courier New" w:hAnsi="Courier New"/>
                <w:b/>
                <w:bCs/>
                <w:sz w:val="26"/>
                <w:szCs w:val="26"/>
                <w:rtl/>
              </w:rPr>
              <w:t>עינת רביד, שופטת</w:t>
            </w:r>
          </w:p>
          <w:p w:rsidR="00B718F1" w:rsidRDefault="00B718F1" w:rsidP="00F03512">
            <w:pPr>
              <w:jc w:val="center"/>
              <w:rPr>
                <w:rFonts w:ascii="Courier New" w:hAnsi="Courier New"/>
                <w:b/>
                <w:bCs/>
                <w:sz w:val="26"/>
                <w:szCs w:val="26"/>
              </w:rPr>
            </w:pPr>
          </w:p>
        </w:tc>
      </w:tr>
    </w:tbl>
    <w:p w:rsidR="00B718F1" w:rsidRDefault="00B718F1" w:rsidP="00B718F1">
      <w:pPr>
        <w:spacing w:line="360" w:lineRule="auto"/>
        <w:jc w:val="both"/>
        <w:rPr>
          <w:rFonts w:ascii="David" w:hAnsi="David"/>
          <w:b/>
          <w:bCs/>
          <w:sz w:val="26"/>
          <w:szCs w:val="26"/>
          <w:u w:val="single"/>
          <w:rtl/>
        </w:rPr>
      </w:pPr>
      <w:r>
        <w:rPr>
          <w:rFonts w:ascii="David" w:hAnsi="David"/>
          <w:b/>
          <w:bCs/>
          <w:sz w:val="26"/>
          <w:szCs w:val="26"/>
          <w:u w:val="single"/>
          <w:rtl/>
        </w:rPr>
        <w:lastRenderedPageBreak/>
        <w:t>כבוד השופט נפתלי שילה</w:t>
      </w:r>
    </w:p>
    <w:p w:rsidR="00B718F1" w:rsidRDefault="00B718F1" w:rsidP="00B718F1">
      <w:pPr>
        <w:spacing w:line="360" w:lineRule="auto"/>
        <w:jc w:val="both"/>
        <w:rPr>
          <w:rFonts w:ascii="David" w:hAnsi="David"/>
          <w:rtl/>
        </w:rPr>
      </w:pPr>
      <w:r>
        <w:rPr>
          <w:rFonts w:ascii="David" w:hAnsi="David"/>
          <w:rtl/>
        </w:rPr>
        <w:t xml:space="preserve">אני מסכים. </w:t>
      </w:r>
    </w:p>
    <w:tbl>
      <w:tblPr>
        <w:bidiVisual/>
        <w:tblW w:w="0" w:type="auto"/>
        <w:tblInd w:w="4932" w:type="dxa"/>
        <w:tblCellMar>
          <w:left w:w="0" w:type="dxa"/>
          <w:right w:w="0" w:type="dxa"/>
        </w:tblCellMar>
        <w:tblLook w:val="04A0" w:firstRow="1" w:lastRow="0" w:firstColumn="1" w:lastColumn="0" w:noHBand="0" w:noVBand="1"/>
      </w:tblPr>
      <w:tblGrid>
        <w:gridCol w:w="2872"/>
      </w:tblGrid>
      <w:tr w:rsidR="00B718F1" w:rsidTr="00B718F1">
        <w:tc>
          <w:tcPr>
            <w:tcW w:w="2872" w:type="dxa"/>
            <w:tcBorders>
              <w:top w:val="nil"/>
              <w:left w:val="nil"/>
              <w:bottom w:val="single" w:sz="8" w:space="0" w:color="auto"/>
              <w:right w:val="nil"/>
            </w:tcBorders>
            <w:tcMar>
              <w:top w:w="0" w:type="dxa"/>
              <w:left w:w="108" w:type="dxa"/>
              <w:bottom w:w="0" w:type="dxa"/>
              <w:right w:w="108" w:type="dxa"/>
            </w:tcMar>
            <w:hideMark/>
          </w:tcPr>
          <w:p w:rsidR="00B718F1" w:rsidRDefault="00B718F1">
            <w:pPr>
              <w:spacing w:line="360" w:lineRule="auto"/>
              <w:ind w:left="360"/>
              <w:jc w:val="both"/>
              <w:rPr>
                <w:rFonts w:ascii="David" w:hAnsi="David"/>
                <w:rtl/>
              </w:rPr>
            </w:pPr>
            <w:r>
              <w:rPr>
                <w:rFonts w:ascii="David" w:hAnsi="David"/>
              </w:rPr>
              <w:drawing>
                <wp:inline distT="0" distB="0" distL="0" distR="0">
                  <wp:extent cx="1339850" cy="535940"/>
                  <wp:effectExtent l="0" t="0" r="0" b="0"/>
                  <wp:docPr id="2" name="תמונה 2" descr="cid:image003.png@01D5D9AF.3D52D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5D9AF.3D52D30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339850" cy="535940"/>
                          </a:xfrm>
                          <a:prstGeom prst="rect">
                            <a:avLst/>
                          </a:prstGeom>
                          <a:noFill/>
                          <a:ln>
                            <a:noFill/>
                          </a:ln>
                        </pic:spPr>
                      </pic:pic>
                    </a:graphicData>
                  </a:graphic>
                </wp:inline>
              </w:drawing>
            </w:r>
          </w:p>
        </w:tc>
      </w:tr>
      <w:tr w:rsidR="00B718F1" w:rsidTr="00B718F1">
        <w:tc>
          <w:tcPr>
            <w:tcW w:w="2872" w:type="dxa"/>
            <w:tcMar>
              <w:top w:w="0" w:type="dxa"/>
              <w:left w:w="108" w:type="dxa"/>
              <w:bottom w:w="0" w:type="dxa"/>
              <w:right w:w="108" w:type="dxa"/>
            </w:tcMar>
            <w:hideMark/>
          </w:tcPr>
          <w:p w:rsidR="00B718F1" w:rsidRDefault="00B718F1">
            <w:pPr>
              <w:spacing w:line="360" w:lineRule="auto"/>
              <w:ind w:left="360"/>
              <w:jc w:val="center"/>
              <w:rPr>
                <w:rFonts w:ascii="David" w:hAnsi="David"/>
                <w:b/>
                <w:bCs/>
                <w:sz w:val="26"/>
                <w:szCs w:val="26"/>
                <w:rtl/>
              </w:rPr>
            </w:pPr>
            <w:r>
              <w:rPr>
                <w:rFonts w:ascii="David" w:hAnsi="David"/>
                <w:b/>
                <w:bCs/>
                <w:sz w:val="26"/>
                <w:szCs w:val="26"/>
                <w:rtl/>
              </w:rPr>
              <w:t>נפתלי שילה, שופט</w:t>
            </w:r>
          </w:p>
        </w:tc>
      </w:tr>
    </w:tbl>
    <w:p w:rsidR="00B718F1" w:rsidRDefault="00B718F1" w:rsidP="00B718F1">
      <w:pPr>
        <w:rPr>
          <w:rFonts w:ascii="Calibri" w:hAnsi="Calibri" w:cs="Calibri"/>
          <w:sz w:val="22"/>
          <w:szCs w:val="22"/>
          <w:rtl/>
        </w:rPr>
      </w:pPr>
    </w:p>
    <w:p w:rsidR="00B718F1" w:rsidRDefault="00B718F1" w:rsidP="00B718F1">
      <w:pPr>
        <w:spacing w:line="360" w:lineRule="auto"/>
        <w:rPr>
          <w:rFonts w:ascii="Arial" w:hAnsi="Arial"/>
          <w:noProof w:val="0"/>
          <w:rtl/>
        </w:rPr>
      </w:pPr>
      <w:r>
        <w:rPr>
          <w:rFonts w:ascii="Arial" w:hAnsi="Arial"/>
          <w:noProof w:val="0"/>
          <w:rtl/>
        </w:rPr>
        <w:t>הוחלט בהתאם לפסק דינ</w:t>
      </w:r>
      <w:r>
        <w:rPr>
          <w:rFonts w:ascii="Arial" w:hAnsi="Arial" w:hint="cs"/>
          <w:noProof w:val="0"/>
          <w:rtl/>
        </w:rPr>
        <w:t>ו</w:t>
      </w:r>
      <w:r>
        <w:rPr>
          <w:rFonts w:ascii="Arial" w:hAnsi="Arial"/>
          <w:noProof w:val="0"/>
          <w:rtl/>
        </w:rPr>
        <w:t xml:space="preserve"> של</w:t>
      </w:r>
      <w:r>
        <w:rPr>
          <w:rFonts w:ascii="Arial" w:hAnsi="Arial" w:hint="cs"/>
          <w:noProof w:val="0"/>
          <w:rtl/>
        </w:rPr>
        <w:t xml:space="preserve"> סג"נ אב"ד</w:t>
      </w:r>
      <w:r>
        <w:rPr>
          <w:rFonts w:ascii="Arial" w:hAnsi="Arial"/>
          <w:noProof w:val="0"/>
          <w:rtl/>
        </w:rPr>
        <w:t xml:space="preserve"> השופט </w:t>
      </w:r>
      <w:r>
        <w:rPr>
          <w:rFonts w:ascii="Arial" w:hAnsi="Arial" w:hint="cs"/>
          <w:noProof w:val="0"/>
          <w:rtl/>
        </w:rPr>
        <w:t>שוחט</w:t>
      </w:r>
      <w:r>
        <w:rPr>
          <w:rFonts w:ascii="Arial" w:hAnsi="Arial"/>
          <w:noProof w:val="0"/>
          <w:rtl/>
        </w:rPr>
        <w:t xml:space="preserve">. </w:t>
      </w:r>
    </w:p>
    <w:p w:rsidR="00B718F1" w:rsidRDefault="00B718F1" w:rsidP="00B718F1">
      <w:pPr>
        <w:spacing w:line="360" w:lineRule="auto"/>
        <w:rPr>
          <w:rFonts w:ascii="Arial" w:hAnsi="Arial"/>
          <w:noProof w:val="0"/>
          <w:rtl/>
        </w:rPr>
      </w:pPr>
    </w:p>
    <w:p w:rsidR="00B718F1" w:rsidRDefault="00B718F1" w:rsidP="00B718F1">
      <w:pPr>
        <w:spacing w:line="360" w:lineRule="auto"/>
        <w:jc w:val="both"/>
        <w:rPr>
          <w:rFonts w:ascii="Arial" w:hAnsi="Arial"/>
          <w:noProof w:val="0"/>
          <w:rtl/>
        </w:rPr>
      </w:pPr>
      <w:r>
        <w:rPr>
          <w:rFonts w:ascii="Arial" w:hAnsi="Arial"/>
          <w:noProof w:val="0"/>
          <w:rtl/>
        </w:rPr>
        <w:t>המזכירות תמציא העתק מפסק הדין לב"כ הצדדים.</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235735686"/>
          <w:text w:multiLine="1"/>
        </w:sdtPr>
        <w:sdtEndPr/>
        <w:sdtContent>
          <w:r>
            <w:rPr>
              <w:rFonts w:ascii="Arial" w:hAnsi="Arial"/>
              <w:noProof w:val="0"/>
              <w:rtl/>
            </w:rPr>
            <w:t>ז' תמוז תשפ"ג</w:t>
          </w:r>
        </w:sdtContent>
      </w:sdt>
      <w:r w:rsidR="00005C8B">
        <w:rPr>
          <w:rFonts w:ascii="Arial" w:hAnsi="Arial"/>
          <w:noProof w:val="0"/>
          <w:rtl/>
        </w:rPr>
        <w:t xml:space="preserve">, </w:t>
      </w:r>
      <w:sdt>
        <w:sdtPr>
          <w:rPr>
            <w:rtl/>
          </w:rPr>
          <w:alias w:val="1456"/>
          <w:tag w:val="1456"/>
          <w:id w:val="2052102366"/>
          <w:text w:multiLine="1"/>
        </w:sdtPr>
        <w:sdtEndPr/>
        <w:sdtContent>
          <w:r>
            <w:rPr>
              <w:rFonts w:ascii="Arial" w:hAnsi="Arial"/>
              <w:noProof w:val="0"/>
              <w:rtl/>
            </w:rPr>
            <w:t>26 יוני 2023</w:t>
          </w:r>
        </w:sdtContent>
      </w:sdt>
      <w:r w:rsidR="00005C8B">
        <w:rPr>
          <w:rFonts w:ascii="Arial" w:hAnsi="Arial"/>
          <w:noProof w:val="0"/>
          <w:rtl/>
        </w:rPr>
        <w:t>, בהעדר הצדדים.</w:t>
      </w:r>
    </w:p>
    <w:tbl>
      <w:tblPr>
        <w:bidiVisual/>
        <w:tblW w:w="8597" w:type="dxa"/>
        <w:tblCellMar>
          <w:left w:w="0" w:type="dxa"/>
          <w:right w:w="0" w:type="dxa"/>
        </w:tblCellMar>
        <w:tblLook w:val="04A0" w:firstRow="1" w:lastRow="0" w:firstColumn="1" w:lastColumn="0" w:noHBand="0" w:noVBand="1"/>
      </w:tblPr>
      <w:tblGrid>
        <w:gridCol w:w="2988"/>
        <w:gridCol w:w="238"/>
        <w:gridCol w:w="2321"/>
        <w:gridCol w:w="303"/>
        <w:gridCol w:w="2747"/>
      </w:tblGrid>
      <w:tr w:rsidR="00B718F1" w:rsidTr="00B718F1">
        <w:trPr>
          <w:trHeight w:val="1117"/>
        </w:trPr>
        <w:tc>
          <w:tcPr>
            <w:tcW w:w="2988" w:type="dxa"/>
            <w:tcBorders>
              <w:top w:val="nil"/>
              <w:left w:val="nil"/>
              <w:bottom w:val="single" w:sz="8" w:space="0" w:color="auto"/>
              <w:right w:val="nil"/>
            </w:tcBorders>
            <w:tcMar>
              <w:top w:w="0" w:type="dxa"/>
              <w:left w:w="108" w:type="dxa"/>
              <w:bottom w:w="0" w:type="dxa"/>
              <w:right w:w="108" w:type="dxa"/>
            </w:tcMar>
            <w:vAlign w:val="center"/>
            <w:hideMark/>
          </w:tcPr>
          <w:p w:rsidR="00B718F1" w:rsidRDefault="00B718F1">
            <w:pPr>
              <w:spacing w:line="256" w:lineRule="auto"/>
              <w:jc w:val="center"/>
              <w:rPr>
                <w:rFonts w:ascii="David" w:hAnsi="David"/>
                <w:b/>
                <w:bCs/>
                <w:lang w:eastAsia="he-IL"/>
              </w:rPr>
            </w:pPr>
            <w:r>
              <w:rPr>
                <w:rFonts w:ascii="Courier New" w:hAnsi="Courier New" w:cs="Courier New"/>
                <w:b/>
                <w:bCs/>
                <w:sz w:val="20"/>
                <w:szCs w:val="20"/>
              </w:rPr>
              <w:drawing>
                <wp:inline distT="0" distB="0" distL="0" distR="0">
                  <wp:extent cx="1484630" cy="748030"/>
                  <wp:effectExtent l="0" t="0" r="1270" b="0"/>
                  <wp:docPr id="7" name="תמונה 7" descr="cid:image004.png@01D56948.29CD4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4.png@01D56948.29CD4D6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484630" cy="748030"/>
                          </a:xfrm>
                          <a:prstGeom prst="rect">
                            <a:avLst/>
                          </a:prstGeom>
                          <a:noFill/>
                          <a:ln>
                            <a:noFill/>
                          </a:ln>
                        </pic:spPr>
                      </pic:pic>
                    </a:graphicData>
                  </a:graphic>
                </wp:inline>
              </w:drawing>
            </w:r>
          </w:p>
        </w:tc>
        <w:tc>
          <w:tcPr>
            <w:tcW w:w="238" w:type="dxa"/>
            <w:tcMar>
              <w:top w:w="0" w:type="dxa"/>
              <w:left w:w="108" w:type="dxa"/>
              <w:bottom w:w="0" w:type="dxa"/>
              <w:right w:w="108" w:type="dxa"/>
            </w:tcMar>
            <w:vAlign w:val="center"/>
          </w:tcPr>
          <w:p w:rsidR="00B718F1" w:rsidRDefault="00B718F1">
            <w:pPr>
              <w:spacing w:line="256" w:lineRule="auto"/>
              <w:jc w:val="center"/>
              <w:rPr>
                <w:rFonts w:ascii="Courier New" w:hAnsi="Courier New" w:cs="Courier New"/>
                <w:b/>
                <w:bCs/>
                <w:lang w:eastAsia="he-IL"/>
              </w:rPr>
            </w:pPr>
          </w:p>
        </w:tc>
        <w:tc>
          <w:tcPr>
            <w:tcW w:w="2321" w:type="dxa"/>
            <w:tcBorders>
              <w:top w:val="nil"/>
              <w:left w:val="nil"/>
              <w:bottom w:val="single" w:sz="8" w:space="0" w:color="auto"/>
              <w:right w:val="nil"/>
            </w:tcBorders>
            <w:tcMar>
              <w:top w:w="0" w:type="dxa"/>
              <w:left w:w="108" w:type="dxa"/>
              <w:bottom w:w="0" w:type="dxa"/>
              <w:right w:w="108" w:type="dxa"/>
            </w:tcMar>
            <w:vAlign w:val="center"/>
          </w:tcPr>
          <w:p w:rsidR="00B718F1" w:rsidRDefault="00B718F1">
            <w:pPr>
              <w:spacing w:line="256" w:lineRule="auto"/>
              <w:jc w:val="center"/>
              <w:rPr>
                <w:rFonts w:ascii="Courier New" w:hAnsi="Courier New" w:cs="Courier New"/>
                <w:b/>
                <w:bCs/>
                <w:sz w:val="20"/>
                <w:szCs w:val="20"/>
                <w:rtl/>
                <w:lang w:eastAsia="he-IL"/>
              </w:rPr>
            </w:pPr>
            <w:r>
              <w:drawing>
                <wp:inline distT="0" distB="0" distL="0" distR="0">
                  <wp:extent cx="1282700" cy="558165"/>
                  <wp:effectExtent l="0" t="0" r="0" b="0"/>
                  <wp:docPr id="6" name="תמונה 6" descr="cid:image001.png@01D56948.29CD4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png@01D56948.29CD4D60"/>
                          <pic:cNvPicPr>
                            <a:picLocks noChangeAspect="1" noChangeArrowheads="1"/>
                          </pic:cNvPicPr>
                        </pic:nvPicPr>
                        <pic:blipFill>
                          <a:blip r:embed="rId10" r:link="rId15">
                            <a:extLst>
                              <a:ext uri="{28A0092B-C50C-407E-A947-70E740481C1C}">
                                <a14:useLocalDpi xmlns:a14="http://schemas.microsoft.com/office/drawing/2010/main" val="0"/>
                              </a:ext>
                            </a:extLst>
                          </a:blip>
                          <a:srcRect/>
                          <a:stretch>
                            <a:fillRect/>
                          </a:stretch>
                        </pic:blipFill>
                        <pic:spPr bwMode="auto">
                          <a:xfrm>
                            <a:off x="0" y="0"/>
                            <a:ext cx="1282700" cy="558165"/>
                          </a:xfrm>
                          <a:prstGeom prst="rect">
                            <a:avLst/>
                          </a:prstGeom>
                          <a:noFill/>
                          <a:ln>
                            <a:noFill/>
                          </a:ln>
                        </pic:spPr>
                      </pic:pic>
                    </a:graphicData>
                  </a:graphic>
                </wp:inline>
              </w:drawing>
            </w:r>
          </w:p>
          <w:p w:rsidR="00B718F1" w:rsidRDefault="00B718F1">
            <w:pPr>
              <w:spacing w:line="256" w:lineRule="auto"/>
              <w:jc w:val="center"/>
              <w:rPr>
                <w:rFonts w:ascii="David" w:hAnsi="David"/>
                <w:b/>
                <w:bCs/>
                <w:sz w:val="20"/>
                <w:szCs w:val="20"/>
                <w:rtl/>
                <w:lang w:eastAsia="he-IL"/>
              </w:rPr>
            </w:pPr>
          </w:p>
        </w:tc>
        <w:tc>
          <w:tcPr>
            <w:tcW w:w="303" w:type="dxa"/>
            <w:tcMar>
              <w:top w:w="0" w:type="dxa"/>
              <w:left w:w="108" w:type="dxa"/>
              <w:bottom w:w="0" w:type="dxa"/>
              <w:right w:w="108" w:type="dxa"/>
            </w:tcMar>
            <w:vAlign w:val="center"/>
          </w:tcPr>
          <w:p w:rsidR="00B718F1" w:rsidRDefault="00B718F1">
            <w:pPr>
              <w:spacing w:line="256" w:lineRule="auto"/>
              <w:jc w:val="center"/>
              <w:rPr>
                <w:rFonts w:ascii="Courier New" w:hAnsi="Courier New" w:cs="Courier New"/>
                <w:b/>
                <w:bCs/>
                <w:rtl/>
                <w:lang w:eastAsia="he-IL"/>
              </w:rPr>
            </w:pPr>
          </w:p>
        </w:tc>
        <w:tc>
          <w:tcPr>
            <w:tcW w:w="2747" w:type="dxa"/>
            <w:tcBorders>
              <w:top w:val="nil"/>
              <w:left w:val="nil"/>
              <w:bottom w:val="single" w:sz="8" w:space="0" w:color="auto"/>
              <w:right w:val="nil"/>
            </w:tcBorders>
            <w:tcMar>
              <w:top w:w="0" w:type="dxa"/>
              <w:left w:w="108" w:type="dxa"/>
              <w:bottom w:w="0" w:type="dxa"/>
              <w:right w:w="108" w:type="dxa"/>
            </w:tcMar>
            <w:vAlign w:val="center"/>
            <w:hideMark/>
          </w:tcPr>
          <w:p w:rsidR="00B718F1" w:rsidRDefault="00B718F1">
            <w:pPr>
              <w:spacing w:line="256" w:lineRule="auto"/>
              <w:jc w:val="center"/>
              <w:rPr>
                <w:rFonts w:ascii="Courier New" w:hAnsi="Courier New" w:cs="Courier New"/>
                <w:b/>
                <w:bCs/>
                <w:sz w:val="20"/>
                <w:szCs w:val="20"/>
                <w:lang w:eastAsia="he-IL"/>
              </w:rPr>
            </w:pPr>
            <w:r>
              <w:drawing>
                <wp:inline distT="0" distB="0" distL="0" distR="0">
                  <wp:extent cx="1330325" cy="534670"/>
                  <wp:effectExtent l="0" t="0" r="3175" b="0"/>
                  <wp:docPr id="5" name="תמונה 5" descr="cid:image003.png@01D56948.29CD4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3.png@01D56948.29CD4D60"/>
                          <pic:cNvPicPr>
                            <a:picLocks noChangeAspect="1" noChangeArrowheads="1"/>
                          </pic:cNvPicPr>
                        </pic:nvPicPr>
                        <pic:blipFill>
                          <a:blip r:embed="rId11" r:link="rId16">
                            <a:extLst>
                              <a:ext uri="{28A0092B-C50C-407E-A947-70E740481C1C}">
                                <a14:useLocalDpi xmlns:a14="http://schemas.microsoft.com/office/drawing/2010/main" val="0"/>
                              </a:ext>
                            </a:extLst>
                          </a:blip>
                          <a:srcRect/>
                          <a:stretch>
                            <a:fillRect/>
                          </a:stretch>
                        </pic:blipFill>
                        <pic:spPr bwMode="auto">
                          <a:xfrm>
                            <a:off x="0" y="0"/>
                            <a:ext cx="1330325" cy="534670"/>
                          </a:xfrm>
                          <a:prstGeom prst="rect">
                            <a:avLst/>
                          </a:prstGeom>
                          <a:noFill/>
                          <a:ln>
                            <a:noFill/>
                          </a:ln>
                        </pic:spPr>
                      </pic:pic>
                    </a:graphicData>
                  </a:graphic>
                </wp:inline>
              </w:drawing>
            </w:r>
          </w:p>
        </w:tc>
      </w:tr>
      <w:tr w:rsidR="00B718F1" w:rsidTr="00B718F1">
        <w:trPr>
          <w:trHeight w:val="580"/>
        </w:trPr>
        <w:tc>
          <w:tcPr>
            <w:tcW w:w="2988" w:type="dxa"/>
            <w:tcMar>
              <w:top w:w="0" w:type="dxa"/>
              <w:left w:w="108" w:type="dxa"/>
              <w:bottom w:w="0" w:type="dxa"/>
              <w:right w:w="108" w:type="dxa"/>
            </w:tcMar>
            <w:vAlign w:val="center"/>
          </w:tcPr>
          <w:p w:rsidR="00B718F1" w:rsidRDefault="00B718F1">
            <w:pPr>
              <w:spacing w:line="256" w:lineRule="auto"/>
              <w:jc w:val="center"/>
              <w:rPr>
                <w:rFonts w:ascii="David" w:hAnsi="David"/>
                <w:b/>
                <w:bCs/>
                <w:sz w:val="26"/>
                <w:szCs w:val="26"/>
                <w:lang w:eastAsia="he-IL"/>
              </w:rPr>
            </w:pPr>
          </w:p>
          <w:p w:rsidR="00B718F1" w:rsidRDefault="00B718F1">
            <w:pPr>
              <w:spacing w:line="256" w:lineRule="auto"/>
              <w:jc w:val="center"/>
              <w:rPr>
                <w:rFonts w:ascii="David" w:hAnsi="David"/>
                <w:b/>
                <w:bCs/>
                <w:sz w:val="26"/>
                <w:szCs w:val="26"/>
                <w:rtl/>
                <w:lang w:eastAsia="he-IL"/>
              </w:rPr>
            </w:pPr>
            <w:r>
              <w:rPr>
                <w:rFonts w:ascii="David" w:hAnsi="David"/>
                <w:b/>
                <w:bCs/>
                <w:sz w:val="26"/>
                <w:szCs w:val="26"/>
                <w:rtl/>
                <w:lang w:eastAsia="he-IL"/>
              </w:rPr>
              <w:t>שאול שוחט, שופט</w:t>
            </w:r>
          </w:p>
          <w:p w:rsidR="00B718F1" w:rsidRDefault="00B718F1">
            <w:pPr>
              <w:spacing w:line="256" w:lineRule="auto"/>
              <w:jc w:val="center"/>
              <w:rPr>
                <w:rFonts w:ascii="David" w:hAnsi="David"/>
                <w:b/>
                <w:bCs/>
                <w:sz w:val="26"/>
                <w:szCs w:val="26"/>
                <w:lang w:eastAsia="he-IL"/>
              </w:rPr>
            </w:pPr>
            <w:r>
              <w:rPr>
                <w:rFonts w:ascii="David" w:hAnsi="David"/>
                <w:b/>
                <w:bCs/>
                <w:sz w:val="26"/>
                <w:szCs w:val="26"/>
                <w:rtl/>
                <w:lang w:eastAsia="he-IL"/>
              </w:rPr>
              <w:t>סג"נ-אב"ד</w:t>
            </w:r>
          </w:p>
        </w:tc>
        <w:tc>
          <w:tcPr>
            <w:tcW w:w="238" w:type="dxa"/>
            <w:tcMar>
              <w:top w:w="0" w:type="dxa"/>
              <w:left w:w="108" w:type="dxa"/>
              <w:bottom w:w="0" w:type="dxa"/>
              <w:right w:w="108" w:type="dxa"/>
            </w:tcMar>
            <w:vAlign w:val="center"/>
          </w:tcPr>
          <w:p w:rsidR="00B718F1" w:rsidRDefault="00B718F1">
            <w:pPr>
              <w:spacing w:line="256" w:lineRule="auto"/>
              <w:jc w:val="center"/>
              <w:rPr>
                <w:rFonts w:ascii="David" w:hAnsi="David"/>
                <w:b/>
                <w:bCs/>
                <w:sz w:val="26"/>
                <w:szCs w:val="26"/>
                <w:lang w:eastAsia="he-IL"/>
              </w:rPr>
            </w:pPr>
          </w:p>
        </w:tc>
        <w:tc>
          <w:tcPr>
            <w:tcW w:w="2321" w:type="dxa"/>
            <w:tcMar>
              <w:top w:w="0" w:type="dxa"/>
              <w:left w:w="108" w:type="dxa"/>
              <w:bottom w:w="0" w:type="dxa"/>
              <w:right w:w="108" w:type="dxa"/>
            </w:tcMar>
            <w:vAlign w:val="center"/>
            <w:hideMark/>
          </w:tcPr>
          <w:p w:rsidR="00B718F1" w:rsidRDefault="00B718F1">
            <w:pPr>
              <w:spacing w:line="256" w:lineRule="auto"/>
              <w:jc w:val="center"/>
              <w:rPr>
                <w:rFonts w:ascii="David" w:hAnsi="David"/>
                <w:b/>
                <w:bCs/>
                <w:sz w:val="26"/>
                <w:szCs w:val="26"/>
                <w:lang w:eastAsia="he-IL"/>
              </w:rPr>
            </w:pPr>
            <w:r>
              <w:rPr>
                <w:rFonts w:ascii="David" w:hAnsi="David"/>
                <w:b/>
                <w:bCs/>
                <w:sz w:val="26"/>
                <w:szCs w:val="26"/>
                <w:rtl/>
                <w:lang w:eastAsia="he-IL"/>
              </w:rPr>
              <w:t>עינת רביד, שופטת</w:t>
            </w:r>
          </w:p>
        </w:tc>
        <w:tc>
          <w:tcPr>
            <w:tcW w:w="303" w:type="dxa"/>
            <w:tcMar>
              <w:top w:w="0" w:type="dxa"/>
              <w:left w:w="108" w:type="dxa"/>
              <w:bottom w:w="0" w:type="dxa"/>
              <w:right w:w="108" w:type="dxa"/>
            </w:tcMar>
            <w:vAlign w:val="center"/>
          </w:tcPr>
          <w:p w:rsidR="00B718F1" w:rsidRDefault="00B718F1">
            <w:pPr>
              <w:spacing w:line="256" w:lineRule="auto"/>
              <w:jc w:val="center"/>
              <w:rPr>
                <w:rFonts w:ascii="David" w:hAnsi="David"/>
                <w:b/>
                <w:bCs/>
                <w:sz w:val="26"/>
                <w:szCs w:val="26"/>
                <w:rtl/>
                <w:lang w:eastAsia="he-IL"/>
              </w:rPr>
            </w:pPr>
          </w:p>
        </w:tc>
        <w:tc>
          <w:tcPr>
            <w:tcW w:w="2747" w:type="dxa"/>
            <w:tcMar>
              <w:top w:w="0" w:type="dxa"/>
              <w:left w:w="108" w:type="dxa"/>
              <w:bottom w:w="0" w:type="dxa"/>
              <w:right w:w="108" w:type="dxa"/>
            </w:tcMar>
            <w:vAlign w:val="center"/>
            <w:hideMark/>
          </w:tcPr>
          <w:p w:rsidR="00B718F1" w:rsidRDefault="00B718F1">
            <w:pPr>
              <w:spacing w:line="256" w:lineRule="auto"/>
              <w:jc w:val="center"/>
              <w:rPr>
                <w:rFonts w:ascii="David" w:hAnsi="David"/>
                <w:b/>
                <w:bCs/>
                <w:sz w:val="26"/>
                <w:szCs w:val="26"/>
                <w:rtl/>
                <w:lang w:eastAsia="he-IL"/>
              </w:rPr>
            </w:pPr>
            <w:r>
              <w:rPr>
                <w:rFonts w:ascii="David" w:hAnsi="David"/>
                <w:b/>
                <w:bCs/>
                <w:sz w:val="26"/>
                <w:szCs w:val="26"/>
                <w:rtl/>
                <w:lang w:eastAsia="he-IL"/>
              </w:rPr>
              <w:t>נפתלי שילה, שופט</w:t>
            </w:r>
          </w:p>
        </w:tc>
      </w:tr>
    </w:tbl>
    <w:p w:rsidR="00B718F1" w:rsidRDefault="00B718F1">
      <w:pPr>
        <w:spacing w:line="360" w:lineRule="auto"/>
        <w:jc w:val="both"/>
        <w:rPr>
          <w:rFonts w:ascii="Arial" w:hAnsi="Arial"/>
          <w:noProof w:val="0"/>
          <w:rtl/>
        </w:rPr>
      </w:pPr>
    </w:p>
    <w:sectPr w:rsidR="00B718F1" w:rsidSect="00903896">
      <w:headerReference w:type="even" r:id="rId17"/>
      <w:headerReference w:type="default" r:id="rId18"/>
      <w:footerReference w:type="even" r:id="rId19"/>
      <w:footerReference w:type="default" r:id="rId20"/>
      <w:headerReference w:type="first" r:id="rId21"/>
      <w:footerReference w:type="first" r:id="rId2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C91" w:rsidRDefault="002A3C91">
      <w:r>
        <w:separator/>
      </w:r>
    </w:p>
  </w:endnote>
  <w:endnote w:type="continuationSeparator" w:id="0">
    <w:p w:rsidR="002A3C91" w:rsidRDefault="002A3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FB8" w:rsidRDefault="00162FB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05465">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23C4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23C4E">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FB8" w:rsidRDefault="00162F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C91" w:rsidRDefault="002A3C91">
      <w:r>
        <w:separator/>
      </w:r>
    </w:p>
  </w:footnote>
  <w:footnote w:type="continuationSeparator" w:id="0">
    <w:p w:rsidR="002A3C91" w:rsidRDefault="002A3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FB8" w:rsidRDefault="00162FB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0333C">
    <w:pPr>
      <w:pStyle w:val="a3"/>
      <w:jc w:val="center"/>
      <w:rPr>
        <w:rFonts w:cs="FrankRuehl"/>
        <w:noProof w:val="0"/>
        <w:sz w:val="28"/>
        <w:szCs w:val="28"/>
        <w:rtl/>
      </w:rPr>
    </w:pPr>
    <w:r>
      <w:rPr>
        <w:rFonts w:cs="FrankRuehl"/>
        <w:sz w:val="28"/>
        <w:szCs w:val="28"/>
      </w:rPr>
      <w:drawing>
        <wp:inline distT="0" distB="0" distL="0" distR="0" wp14:anchorId="031BB381" wp14:editId="58C2146F">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9501" w:type="dxa"/>
      <w:jc w:val="center"/>
      <w:tblLook w:val="0000" w:firstRow="0" w:lastRow="0" w:firstColumn="0" w:lastColumn="0" w:noHBand="0" w:noVBand="0"/>
    </w:tblPr>
    <w:tblGrid>
      <w:gridCol w:w="5808"/>
      <w:gridCol w:w="3693"/>
    </w:tblGrid>
    <w:tr w:rsidR="00694556" w:rsidTr="00FB7194">
      <w:trPr>
        <w:trHeight w:hRule="exact" w:val="418"/>
        <w:jc w:val="center"/>
      </w:trPr>
      <w:sdt>
        <w:sdtPr>
          <w:rPr>
            <w:sz w:val="30"/>
            <w:szCs w:val="30"/>
            <w:rtl/>
          </w:rPr>
          <w:alias w:val="1174"/>
          <w:tag w:val="1174"/>
          <w:id w:val="460396125"/>
          <w:text/>
        </w:sdtPr>
        <w:sdtEndPr/>
        <w:sdtContent>
          <w:tc>
            <w:tcPr>
              <w:tcW w:w="9501" w:type="dxa"/>
              <w:gridSpan w:val="2"/>
            </w:tcPr>
            <w:p w:rsidR="00694556" w:rsidRPr="00A02D93" w:rsidRDefault="00005C8B">
              <w:pPr>
                <w:pStyle w:val="a3"/>
                <w:jc w:val="center"/>
                <w:rPr>
                  <w:rFonts w:ascii="Tahoma" w:hAnsi="Tahoma"/>
                  <w:noProof w:val="0"/>
                  <w:color w:val="000080"/>
                  <w:sz w:val="30"/>
                  <w:szCs w:val="30"/>
                  <w:rtl/>
                </w:rPr>
              </w:pPr>
              <w:r w:rsidRPr="00A02D93">
                <w:rPr>
                  <w:rFonts w:ascii="Tahoma" w:hAnsi="Tahoma"/>
                  <w:b/>
                  <w:bCs/>
                  <w:noProof w:val="0"/>
                  <w:color w:val="000080"/>
                  <w:sz w:val="30"/>
                  <w:szCs w:val="30"/>
                  <w:rtl/>
                </w:rPr>
                <w:t>בית המשפט המחוזי בתל אביב -יפו</w:t>
              </w:r>
            </w:p>
          </w:tc>
        </w:sdtContent>
      </w:sdt>
    </w:tr>
    <w:tr w:rsidR="00694556" w:rsidTr="00FB7194">
      <w:trPr>
        <w:trHeight w:val="337"/>
        <w:jc w:val="center"/>
      </w:trPr>
      <w:tc>
        <w:tcPr>
          <w:tcW w:w="5808" w:type="dxa"/>
        </w:tcPr>
        <w:p w:rsidR="00694556" w:rsidRDefault="00694556">
          <w:pPr>
            <w:rPr>
              <w:b/>
              <w:bCs/>
              <w:noProof w:val="0"/>
              <w:sz w:val="26"/>
              <w:szCs w:val="26"/>
              <w:rtl/>
            </w:rPr>
          </w:pPr>
        </w:p>
      </w:tc>
      <w:tc>
        <w:tcPr>
          <w:tcW w:w="3693" w:type="dxa"/>
        </w:tcPr>
        <w:p w:rsidR="00694556" w:rsidRDefault="00694556">
          <w:pPr>
            <w:pStyle w:val="a3"/>
            <w:jc w:val="right"/>
            <w:rPr>
              <w:b/>
              <w:bCs/>
              <w:noProof w:val="0"/>
              <w:sz w:val="26"/>
              <w:szCs w:val="26"/>
              <w:rtl/>
            </w:rPr>
          </w:pPr>
        </w:p>
      </w:tc>
    </w:tr>
    <w:tr w:rsidR="00694556" w:rsidTr="00FB7194">
      <w:trPr>
        <w:trHeight w:val="337"/>
        <w:jc w:val="center"/>
      </w:trPr>
      <w:tc>
        <w:tcPr>
          <w:tcW w:w="9501" w:type="dxa"/>
          <w:gridSpan w:val="2"/>
        </w:tcPr>
        <w:p w:rsidR="000002B3" w:rsidRDefault="000002B3">
          <w:pPr>
            <w:rPr>
              <w:rtl/>
            </w:rPr>
          </w:pPr>
        </w:p>
        <w:p w:rsidR="00694556" w:rsidRPr="009109C6" w:rsidRDefault="002A3C91" w:rsidP="006C142D">
          <w:pPr>
            <w:rPr>
              <w:b/>
              <w:bCs/>
              <w:noProof w:val="0"/>
              <w:sz w:val="26"/>
              <w:szCs w:val="26"/>
              <w:rtl/>
            </w:rPr>
          </w:pPr>
          <w:sdt>
            <w:sdtPr>
              <w:rPr>
                <w:rtl/>
              </w:rPr>
              <w:alias w:val="1170"/>
              <w:tag w:val="1170"/>
              <w:id w:val="1272976944"/>
              <w:text w:multiLine="1"/>
            </w:sdtPr>
            <w:sdtEndPr/>
            <w:sdtContent>
              <w:r w:rsidR="00FB7194">
                <w:rPr>
                  <w:b/>
                  <w:bCs/>
                  <w:noProof w:val="0"/>
                  <w:sz w:val="26"/>
                  <w:szCs w:val="26"/>
                  <w:rtl/>
                </w:rPr>
                <w:t>עמ"ש</w:t>
              </w:r>
            </w:sdtContent>
          </w:sdt>
          <w:r w:rsidR="00005C8B" w:rsidRPr="009109C6">
            <w:rPr>
              <w:b/>
              <w:bCs/>
              <w:noProof w:val="0"/>
              <w:sz w:val="26"/>
              <w:szCs w:val="26"/>
              <w:rtl/>
            </w:rPr>
            <w:t xml:space="preserve"> </w:t>
          </w:r>
          <w:sdt>
            <w:sdtPr>
              <w:rPr>
                <w:rtl/>
              </w:rPr>
              <w:alias w:val="1171"/>
              <w:tag w:val="1171"/>
              <w:id w:val="-1944829236"/>
              <w:text w:multiLine="1"/>
            </w:sdtPr>
            <w:sdtEndPr/>
            <w:sdtContent>
              <w:r w:rsidR="00FB7194">
                <w:rPr>
                  <w:b/>
                  <w:bCs/>
                  <w:noProof w:val="0"/>
                  <w:sz w:val="26"/>
                  <w:szCs w:val="26"/>
                  <w:rtl/>
                </w:rPr>
                <w:t>63267-11-22</w:t>
              </w:r>
            </w:sdtContent>
          </w:sdt>
          <w:r w:rsidR="00005C8B" w:rsidRPr="009109C6">
            <w:rPr>
              <w:b/>
              <w:bCs/>
              <w:noProof w:val="0"/>
              <w:sz w:val="26"/>
              <w:szCs w:val="26"/>
              <w:rtl/>
            </w:rPr>
            <w:t xml:space="preserve"> </w:t>
          </w:r>
          <w:sdt>
            <w:sdtPr>
              <w:rPr>
                <w:rtl/>
              </w:rPr>
              <w:alias w:val="1172"/>
              <w:tag w:val="1172"/>
              <w:id w:val="-822969233"/>
              <w:text w:multiLine="1"/>
            </w:sdtPr>
            <w:sdtEndPr/>
            <w:sdtContent>
              <w:r w:rsidR="006C142D">
                <w:rPr>
                  <w:rFonts w:hint="cs"/>
                  <w:b/>
                  <w:bCs/>
                  <w:noProof w:val="0"/>
                  <w:sz w:val="26"/>
                  <w:szCs w:val="26"/>
                  <w:rtl/>
                </w:rPr>
                <w:t>פלוני</w:t>
              </w:r>
              <w:r w:rsidR="00FB7194">
                <w:rPr>
                  <w:b/>
                  <w:bCs/>
                  <w:noProof w:val="0"/>
                  <w:sz w:val="26"/>
                  <w:szCs w:val="26"/>
                  <w:rtl/>
                </w:rPr>
                <w:t xml:space="preserve"> נ' </w:t>
              </w:r>
              <w:r w:rsidR="006C142D">
                <w:rPr>
                  <w:rFonts w:hint="cs"/>
                  <w:b/>
                  <w:bCs/>
                  <w:noProof w:val="0"/>
                  <w:sz w:val="26"/>
                  <w:szCs w:val="26"/>
                  <w:rtl/>
                </w:rPr>
                <w:t>אלמוני</w:t>
              </w:r>
              <w:r w:rsidR="00FB7194">
                <w:rPr>
                  <w:b/>
                  <w:bCs/>
                  <w:noProof w:val="0"/>
                  <w:sz w:val="26"/>
                  <w:szCs w:val="26"/>
                  <w:rtl/>
                </w:rPr>
                <w:t xml:space="preserve"> ואח'</w:t>
              </w:r>
            </w:sdtContent>
          </w:sdt>
          <w:r w:rsidR="009109C6">
            <w:rPr>
              <w:rFonts w:hint="cs"/>
              <w:b/>
              <w:bCs/>
              <w:noProof w:val="0"/>
              <w:sz w:val="26"/>
              <w:szCs w:val="26"/>
              <w:rtl/>
            </w:rPr>
            <w:t xml:space="preserve"> </w:t>
          </w:r>
          <w:r w:rsidR="004D0FA5">
            <w:rPr>
              <w:rFonts w:hint="cs"/>
              <w:b/>
              <w:bCs/>
              <w:noProof w:val="0"/>
              <w:sz w:val="26"/>
              <w:szCs w:val="26"/>
              <w:rtl/>
            </w:rPr>
            <w:t xml:space="preserve">           </w:t>
          </w:r>
          <w:r w:rsidR="00A02D93">
            <w:rPr>
              <w:rFonts w:hint="cs"/>
              <w:b/>
              <w:bCs/>
              <w:noProof w:val="0"/>
              <w:sz w:val="26"/>
              <w:szCs w:val="26"/>
              <w:rtl/>
            </w:rPr>
            <w:t xml:space="preserve">     </w:t>
          </w:r>
          <w:r w:rsidR="00912B5F">
            <w:rPr>
              <w:rFonts w:hint="cs"/>
              <w:b/>
              <w:bCs/>
              <w:noProof w:val="0"/>
              <w:sz w:val="26"/>
              <w:szCs w:val="26"/>
              <w:rtl/>
            </w:rPr>
            <w:t xml:space="preserve">       </w:t>
          </w:r>
          <w:r w:rsidR="00A02D93">
            <w:rPr>
              <w:rFonts w:hint="cs"/>
              <w:b/>
              <w:bCs/>
              <w:noProof w:val="0"/>
              <w:sz w:val="26"/>
              <w:szCs w:val="26"/>
              <w:rtl/>
            </w:rPr>
            <w:t xml:space="preserve">  </w:t>
          </w:r>
          <w:r w:rsidR="00FB7194">
            <w:rPr>
              <w:rFonts w:hint="cs"/>
              <w:b/>
              <w:bCs/>
              <w:noProof w:val="0"/>
              <w:sz w:val="26"/>
              <w:szCs w:val="26"/>
              <w:rtl/>
            </w:rPr>
            <w:t xml:space="preserve">     </w:t>
          </w:r>
          <w:r w:rsidR="00A02D93">
            <w:rPr>
              <w:rFonts w:hint="cs"/>
              <w:b/>
              <w:bCs/>
              <w:noProof w:val="0"/>
              <w:sz w:val="26"/>
              <w:szCs w:val="26"/>
              <w:rtl/>
            </w:rPr>
            <w:t xml:space="preserve"> </w:t>
          </w:r>
          <w:sdt>
            <w:sdtPr>
              <w:rPr>
                <w:rFonts w:hint="cs"/>
                <w:b/>
                <w:bCs/>
                <w:noProof w:val="0"/>
                <w:sz w:val="26"/>
                <w:szCs w:val="26"/>
                <w:rtl/>
              </w:rPr>
              <w:alias w:val="1192"/>
              <w:tag w:val="1192"/>
              <w:id w:val="393938774"/>
              <w:placeholder>
                <w:docPart w:val="0C7EB024E988478CBC55EA12A1694B53"/>
              </w:placeholder>
              <w:text w:multiLine="1"/>
            </w:sdtPr>
            <w:sdtEndPr/>
            <w:sdtContent>
              <w:r w:rsidR="00FB7194">
                <w:rPr>
                  <w:rFonts w:hint="eastAsia"/>
                  <w:b/>
                  <w:bCs/>
                  <w:noProof w:val="0"/>
                  <w:sz w:val="26"/>
                  <w:szCs w:val="26"/>
                  <w:rtl/>
                </w:rPr>
                <w:t>26 יוני 2023</w:t>
              </w:r>
            </w:sdtContent>
          </w:sdt>
          <w:r w:rsidR="009109C6">
            <w:rPr>
              <w:b/>
              <w:bCs/>
              <w:noProof w:val="0"/>
              <w:sz w:val="26"/>
              <w:szCs w:val="26"/>
              <w:rtl/>
            </w:rPr>
            <w:t xml:space="preserve"> </w:t>
          </w:r>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FB8" w:rsidRDefault="00162F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75FAE"/>
    <w:multiLevelType w:val="hybridMultilevel"/>
    <w:tmpl w:val="E460F8CE"/>
    <w:lvl w:ilvl="0" w:tplc="7AA812F0">
      <w:start w:val="1"/>
      <w:numFmt w:val="hebrew1"/>
      <w:lvlText w:val="%1."/>
      <w:lvlJc w:val="left"/>
      <w:pPr>
        <w:ind w:left="720" w:hanging="360"/>
      </w:pPr>
      <w:rPr>
        <w:rFonts w:cs="FrankRuehl"/>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DC86BF5"/>
    <w:multiLevelType w:val="hybridMultilevel"/>
    <w:tmpl w:val="A684B3E8"/>
    <w:lvl w:ilvl="0" w:tplc="657E2552">
      <w:start w:val="1"/>
      <w:numFmt w:val="hebrew1"/>
      <w:lvlText w:val="%1."/>
      <w:lvlJc w:val="left"/>
      <w:pPr>
        <w:ind w:left="1080" w:hanging="360"/>
      </w:pPr>
      <w:rPr>
        <w:b w:val="0"/>
        <w:bCs w:val="0"/>
        <w:sz w:val="28"/>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2561F1E"/>
    <w:multiLevelType w:val="hybridMultilevel"/>
    <w:tmpl w:val="DA7C7348"/>
    <w:lvl w:ilvl="0" w:tplc="FE0477B4">
      <w:start w:val="2"/>
      <w:numFmt w:val="hebrew1"/>
      <w:lvlText w:val="%1."/>
      <w:lvlJc w:val="left"/>
      <w:pPr>
        <w:ind w:left="1063" w:hanging="360"/>
      </w:pPr>
      <w:rPr>
        <w:rFonts w:hint="default"/>
      </w:rPr>
    </w:lvl>
    <w:lvl w:ilvl="1" w:tplc="04090019" w:tentative="1">
      <w:start w:val="1"/>
      <w:numFmt w:val="lowerLetter"/>
      <w:lvlText w:val="%2."/>
      <w:lvlJc w:val="left"/>
      <w:pPr>
        <w:ind w:left="1783" w:hanging="360"/>
      </w:pPr>
    </w:lvl>
    <w:lvl w:ilvl="2" w:tplc="0409001B" w:tentative="1">
      <w:start w:val="1"/>
      <w:numFmt w:val="lowerRoman"/>
      <w:lvlText w:val="%3."/>
      <w:lvlJc w:val="right"/>
      <w:pPr>
        <w:ind w:left="2503" w:hanging="180"/>
      </w:pPr>
    </w:lvl>
    <w:lvl w:ilvl="3" w:tplc="0409000F" w:tentative="1">
      <w:start w:val="1"/>
      <w:numFmt w:val="decimal"/>
      <w:lvlText w:val="%4."/>
      <w:lvlJc w:val="left"/>
      <w:pPr>
        <w:ind w:left="3223" w:hanging="360"/>
      </w:pPr>
    </w:lvl>
    <w:lvl w:ilvl="4" w:tplc="04090019" w:tentative="1">
      <w:start w:val="1"/>
      <w:numFmt w:val="lowerLetter"/>
      <w:lvlText w:val="%5."/>
      <w:lvlJc w:val="left"/>
      <w:pPr>
        <w:ind w:left="3943" w:hanging="360"/>
      </w:pPr>
    </w:lvl>
    <w:lvl w:ilvl="5" w:tplc="0409001B" w:tentative="1">
      <w:start w:val="1"/>
      <w:numFmt w:val="lowerRoman"/>
      <w:lvlText w:val="%6."/>
      <w:lvlJc w:val="right"/>
      <w:pPr>
        <w:ind w:left="4663" w:hanging="180"/>
      </w:pPr>
    </w:lvl>
    <w:lvl w:ilvl="6" w:tplc="0409000F" w:tentative="1">
      <w:start w:val="1"/>
      <w:numFmt w:val="decimal"/>
      <w:lvlText w:val="%7."/>
      <w:lvlJc w:val="left"/>
      <w:pPr>
        <w:ind w:left="5383" w:hanging="360"/>
      </w:pPr>
    </w:lvl>
    <w:lvl w:ilvl="7" w:tplc="04090019" w:tentative="1">
      <w:start w:val="1"/>
      <w:numFmt w:val="lowerLetter"/>
      <w:lvlText w:val="%8."/>
      <w:lvlJc w:val="left"/>
      <w:pPr>
        <w:ind w:left="6103" w:hanging="360"/>
      </w:pPr>
    </w:lvl>
    <w:lvl w:ilvl="8" w:tplc="0409001B" w:tentative="1">
      <w:start w:val="1"/>
      <w:numFmt w:val="lowerRoman"/>
      <w:lvlText w:val="%9."/>
      <w:lvlJc w:val="right"/>
      <w:pPr>
        <w:ind w:left="6823" w:hanging="180"/>
      </w:pPr>
    </w:lvl>
  </w:abstractNum>
  <w:abstractNum w:abstractNumId="3" w15:restartNumberingAfterBreak="0">
    <w:nsid w:val="46C65C29"/>
    <w:multiLevelType w:val="hybridMultilevel"/>
    <w:tmpl w:val="9E16424A"/>
    <w:lvl w:ilvl="0" w:tplc="04090013">
      <w:start w:val="1"/>
      <w:numFmt w:val="hebrew1"/>
      <w:lvlText w:val="%1."/>
      <w:lvlJc w:val="center"/>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 w15:restartNumberingAfterBreak="0">
    <w:nsid w:val="5588125B"/>
    <w:multiLevelType w:val="hybridMultilevel"/>
    <w:tmpl w:val="1D6AEFA2"/>
    <w:lvl w:ilvl="0" w:tplc="946446B0">
      <w:start w:val="4"/>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7216172C"/>
    <w:multiLevelType w:val="hybridMultilevel"/>
    <w:tmpl w:val="29700F58"/>
    <w:lvl w:ilvl="0" w:tplc="2126FD42">
      <w:start w:val="1"/>
      <w:numFmt w:val="decimal"/>
      <w:lvlText w:val="%1."/>
      <w:lvlJc w:val="left"/>
      <w:pPr>
        <w:ind w:left="720" w:hanging="360"/>
      </w:pPr>
      <w:rPr>
        <w:rFonts w:ascii="David" w:hAnsi="David" w:cs="David" w:hint="default"/>
        <w:b w:val="0"/>
        <w:bCs w:val="0"/>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2B3"/>
    <w:rsid w:val="00005C8B"/>
    <w:rsid w:val="000564AB"/>
    <w:rsid w:val="00064FBD"/>
    <w:rsid w:val="00096AF7"/>
    <w:rsid w:val="000C3B0F"/>
    <w:rsid w:val="000F0BC8"/>
    <w:rsid w:val="00107E6D"/>
    <w:rsid w:val="0011194C"/>
    <w:rsid w:val="00116E4D"/>
    <w:rsid w:val="00123C4E"/>
    <w:rsid w:val="001346CC"/>
    <w:rsid w:val="00144D2A"/>
    <w:rsid w:val="00162FB8"/>
    <w:rsid w:val="00180519"/>
    <w:rsid w:val="001C4003"/>
    <w:rsid w:val="0020333C"/>
    <w:rsid w:val="002265FF"/>
    <w:rsid w:val="002A3C91"/>
    <w:rsid w:val="00307A6A"/>
    <w:rsid w:val="00307C40"/>
    <w:rsid w:val="00320433"/>
    <w:rsid w:val="003333B2"/>
    <w:rsid w:val="00333451"/>
    <w:rsid w:val="003506A5"/>
    <w:rsid w:val="0036743F"/>
    <w:rsid w:val="003F3FAA"/>
    <w:rsid w:val="0043125D"/>
    <w:rsid w:val="0043502B"/>
    <w:rsid w:val="004359FB"/>
    <w:rsid w:val="0044462A"/>
    <w:rsid w:val="004C4BDF"/>
    <w:rsid w:val="004D0FA5"/>
    <w:rsid w:val="004D1187"/>
    <w:rsid w:val="004E6E3C"/>
    <w:rsid w:val="00504841"/>
    <w:rsid w:val="00517733"/>
    <w:rsid w:val="005268F6"/>
    <w:rsid w:val="00547DB7"/>
    <w:rsid w:val="005E2E46"/>
    <w:rsid w:val="005E63DC"/>
    <w:rsid w:val="00622BAA"/>
    <w:rsid w:val="00661B8B"/>
    <w:rsid w:val="00671BD5"/>
    <w:rsid w:val="006805C1"/>
    <w:rsid w:val="00694556"/>
    <w:rsid w:val="006C142D"/>
    <w:rsid w:val="006C3D60"/>
    <w:rsid w:val="006D201D"/>
    <w:rsid w:val="006E1A53"/>
    <w:rsid w:val="00704EDA"/>
    <w:rsid w:val="007C081A"/>
    <w:rsid w:val="007E6115"/>
    <w:rsid w:val="007F4609"/>
    <w:rsid w:val="008023D9"/>
    <w:rsid w:val="00820005"/>
    <w:rsid w:val="00825203"/>
    <w:rsid w:val="00896889"/>
    <w:rsid w:val="008A14D8"/>
    <w:rsid w:val="008A44DA"/>
    <w:rsid w:val="008C5714"/>
    <w:rsid w:val="00903896"/>
    <w:rsid w:val="00906F3D"/>
    <w:rsid w:val="009109C6"/>
    <w:rsid w:val="00912B5F"/>
    <w:rsid w:val="00A02D93"/>
    <w:rsid w:val="00A912E2"/>
    <w:rsid w:val="00A94B64"/>
    <w:rsid w:val="00AA743F"/>
    <w:rsid w:val="00AC3B7B"/>
    <w:rsid w:val="00AC5209"/>
    <w:rsid w:val="00B0033E"/>
    <w:rsid w:val="00B26C84"/>
    <w:rsid w:val="00B718F1"/>
    <w:rsid w:val="00B80CBD"/>
    <w:rsid w:val="00B86096"/>
    <w:rsid w:val="00B96FA1"/>
    <w:rsid w:val="00BF1908"/>
    <w:rsid w:val="00C22D93"/>
    <w:rsid w:val="00C34482"/>
    <w:rsid w:val="00C77730"/>
    <w:rsid w:val="00C77EBA"/>
    <w:rsid w:val="00D33B86"/>
    <w:rsid w:val="00D53924"/>
    <w:rsid w:val="00D55D0C"/>
    <w:rsid w:val="00D677F5"/>
    <w:rsid w:val="00D861D9"/>
    <w:rsid w:val="00D96D8C"/>
    <w:rsid w:val="00DA6649"/>
    <w:rsid w:val="00E05465"/>
    <w:rsid w:val="00E51415"/>
    <w:rsid w:val="00E54642"/>
    <w:rsid w:val="00EA67C8"/>
    <w:rsid w:val="00EC37E9"/>
    <w:rsid w:val="00F00140"/>
    <w:rsid w:val="00F002A0"/>
    <w:rsid w:val="00F84B6D"/>
    <w:rsid w:val="00FB7194"/>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46B505-8601-4B5A-9E08-77154671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09C6"/>
    <w:rPr>
      <w:color w:val="808080"/>
    </w:rPr>
  </w:style>
  <w:style w:type="paragraph" w:styleId="ad">
    <w:name w:val="List Paragraph"/>
    <w:basedOn w:val="a"/>
    <w:uiPriority w:val="34"/>
    <w:qFormat/>
    <w:rsid w:val="00B718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69846">
      <w:bodyDiv w:val="1"/>
      <w:marLeft w:val="0"/>
      <w:marRight w:val="0"/>
      <w:marTop w:val="0"/>
      <w:marBottom w:val="0"/>
      <w:divBdr>
        <w:top w:val="none" w:sz="0" w:space="0" w:color="auto"/>
        <w:left w:val="none" w:sz="0" w:space="0" w:color="auto"/>
        <w:bottom w:val="none" w:sz="0" w:space="0" w:color="auto"/>
        <w:right w:val="none" w:sz="0" w:space="0" w:color="auto"/>
      </w:divBdr>
    </w:div>
    <w:div w:id="456484697">
      <w:bodyDiv w:val="1"/>
      <w:marLeft w:val="0"/>
      <w:marRight w:val="0"/>
      <w:marTop w:val="0"/>
      <w:marBottom w:val="0"/>
      <w:divBdr>
        <w:top w:val="none" w:sz="0" w:space="0" w:color="auto"/>
        <w:left w:val="none" w:sz="0" w:space="0" w:color="auto"/>
        <w:bottom w:val="none" w:sz="0" w:space="0" w:color="auto"/>
        <w:right w:val="none" w:sz="0" w:space="0" w:color="auto"/>
      </w:divBdr>
    </w:div>
    <w:div w:id="129402164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07511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gi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cid:image003.png@01D5D9AF.3D52D300"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cid:image003.png@01D56948.29CD4D60"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cid:image001.png@01D56948.29CD4D60"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2.gif@01D5D9AF.3D52D300" TargetMode="External"/><Relationship Id="rId14" Type="http://schemas.openxmlformats.org/officeDocument/2006/relationships/image" Target="cid:image004.png@01D56948.29CD4D60"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7EB024E988478CBC55EA12A1694B53"/>
        <w:category>
          <w:name w:val="כללי"/>
          <w:gallery w:val="placeholder"/>
        </w:category>
        <w:types>
          <w:type w:val="bbPlcHdr"/>
        </w:types>
        <w:behaviors>
          <w:behavior w:val="content"/>
        </w:behaviors>
        <w:guid w:val="{B61043EE-A640-4974-81B4-F2972A713729}"/>
      </w:docPartPr>
      <w:docPartBody>
        <w:p w:rsidR="00785B86" w:rsidRDefault="00543A6E" w:rsidP="00543A6E">
          <w:pPr>
            <w:pStyle w:val="0C7EB024E988478CBC55EA12A1694B532"/>
          </w:pPr>
          <w:r>
            <w:rPr>
              <w:rFonts w:hint="eastAsia"/>
              <w:b/>
              <w:bCs/>
              <w:noProof w:val="0"/>
              <w:sz w:val="26"/>
              <w:szCs w:val="26"/>
              <w:rtl/>
            </w:rPr>
            <w:t>תאריך</w:t>
          </w:r>
          <w:r>
            <w:rPr>
              <w:b/>
              <w:bCs/>
              <w:noProof w:val="0"/>
              <w:sz w:val="26"/>
              <w:szCs w:val="26"/>
              <w:rtl/>
            </w:rPr>
            <w:t xml:space="preserve"> מתן החלטה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3B"/>
    <w:rsid w:val="0046533B"/>
    <w:rsid w:val="004C158F"/>
    <w:rsid w:val="00543A6E"/>
    <w:rsid w:val="006751FD"/>
    <w:rsid w:val="006C43F0"/>
    <w:rsid w:val="00785B86"/>
    <w:rsid w:val="00F478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A6E"/>
    <w:rPr>
      <w:color w:val="808080"/>
    </w:rPr>
  </w:style>
  <w:style w:type="paragraph" w:customStyle="1" w:styleId="0C7EB024E988478CBC55EA12A1694B53">
    <w:name w:val="0C7EB024E988478CBC55EA12A1694B53"/>
    <w:rsid w:val="00785B86"/>
    <w:pPr>
      <w:bidi/>
      <w:spacing w:after="0" w:line="240" w:lineRule="auto"/>
    </w:pPr>
    <w:rPr>
      <w:rFonts w:ascii="Times New Roman" w:eastAsia="Times New Roman" w:hAnsi="Times New Roman" w:cs="David"/>
      <w:noProof/>
      <w:sz w:val="24"/>
      <w:szCs w:val="24"/>
    </w:rPr>
  </w:style>
  <w:style w:type="paragraph" w:customStyle="1" w:styleId="0C7EB024E988478CBC55EA12A1694B531">
    <w:name w:val="0C7EB024E988478CBC55EA12A1694B531"/>
    <w:rsid w:val="00F478C7"/>
    <w:pPr>
      <w:bidi/>
      <w:spacing w:after="0" w:line="240" w:lineRule="auto"/>
    </w:pPr>
    <w:rPr>
      <w:rFonts w:ascii="Times New Roman" w:eastAsia="Times New Roman" w:hAnsi="Times New Roman" w:cs="David"/>
      <w:noProof/>
      <w:sz w:val="24"/>
      <w:szCs w:val="24"/>
    </w:rPr>
  </w:style>
  <w:style w:type="paragraph" w:customStyle="1" w:styleId="0C7EB024E988478CBC55EA12A1694B532">
    <w:name w:val="0C7EB024E988478CBC55EA12A1694B532"/>
    <w:rsid w:val="00543A6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1996</Words>
  <Characters>9983</Characters>
  <Application>Microsoft Office Word</Application>
  <DocSecurity>0</DocSecurity>
  <Lines>83</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2023-07-02T12:09:00Z</dcterms:created>
  <dcterms:modified xsi:type="dcterms:W3CDTF">2023-07-02T12:09:00Z</dcterms:modified>
</cp:coreProperties>
</file>